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hd w:val="clear" w:color="auto" w:fill="FFFFFF" w:themeFill="background1"/>
        <w:ind w:firstLine="723"/>
        <w:jc w:val="center"/>
        <w:outlineLvl w:val="0"/>
        <w:rPr>
          <w:rFonts w:cs="Times New Roman"/>
          <w:b/>
          <w:color w:val="auto"/>
          <w:sz w:val="36"/>
          <w:szCs w:val="36"/>
        </w:rPr>
      </w:pPr>
      <w:bookmarkStart w:id="0" w:name="_Toc11705"/>
      <w:bookmarkStart w:id="1" w:name="_Toc24764"/>
      <w:r>
        <w:rPr>
          <w:rFonts w:hint="eastAsia" w:eastAsia="宋体" w:cs="Times New Roman"/>
          <w:b/>
          <w:color w:val="auto"/>
          <w:sz w:val="36"/>
          <w:szCs w:val="36"/>
        </w:rPr>
        <w:t>202</w:t>
      </w:r>
      <w:r>
        <w:rPr>
          <w:rFonts w:hint="eastAsia" w:eastAsia="宋体" w:cs="Times New Roman"/>
          <w:b/>
          <w:color w:val="auto"/>
          <w:sz w:val="36"/>
          <w:szCs w:val="36"/>
          <w:lang w:val="en-US" w:eastAsia="zh-CN"/>
        </w:rPr>
        <w:t>2</w:t>
      </w:r>
      <w:r>
        <w:rPr>
          <w:rFonts w:hint="eastAsia" w:eastAsia="宋体" w:cs="Times New Roman"/>
          <w:b/>
          <w:color w:val="auto"/>
          <w:sz w:val="36"/>
          <w:szCs w:val="36"/>
        </w:rPr>
        <w:t>年度</w:t>
      </w:r>
      <w:r>
        <w:rPr>
          <w:rFonts w:hint="eastAsia" w:eastAsia="宋体" w:cs="Times New Roman"/>
          <w:b/>
          <w:color w:val="auto"/>
          <w:sz w:val="36"/>
          <w:szCs w:val="36"/>
          <w:lang w:eastAsia="zh-CN"/>
        </w:rPr>
        <w:t>建设工程施工图设计文件审查专项经费</w:t>
      </w:r>
      <w:r>
        <w:rPr>
          <w:rFonts w:hint="eastAsia" w:eastAsia="宋体" w:cs="Times New Roman"/>
          <w:b/>
          <w:color w:val="auto"/>
          <w:sz w:val="36"/>
          <w:szCs w:val="36"/>
        </w:rPr>
        <w:t>自评结果</w:t>
      </w:r>
      <w:bookmarkEnd w:id="0"/>
      <w:bookmarkEnd w:id="1"/>
    </w:p>
    <w:p>
      <w:pPr>
        <w:pStyle w:val="26"/>
        <w:shd w:val="clear" w:color="auto" w:fill="FFFFFF" w:themeFill="background1"/>
        <w:spacing w:line="560" w:lineRule="exact"/>
        <w:ind w:firstLine="0" w:firstLineChars="0"/>
        <w:jc w:val="center"/>
        <w:outlineLvl w:val="0"/>
        <w:rPr>
          <w:rFonts w:ascii="楷体" w:hAnsi="楷体" w:eastAsia="楷体" w:cs="楷体"/>
          <w:b/>
          <w:sz w:val="32"/>
        </w:rPr>
      </w:pPr>
      <w:bookmarkStart w:id="2" w:name="_Toc25753"/>
      <w:bookmarkStart w:id="3" w:name="_Toc15949"/>
      <w:bookmarkStart w:id="4" w:name="_Toc27748"/>
      <w:r>
        <w:rPr>
          <w:rFonts w:hint="eastAsia" w:ascii="楷体" w:hAnsi="楷体" w:eastAsia="楷体" w:cs="楷体"/>
          <w:b/>
          <w:sz w:val="32"/>
        </w:rPr>
        <w:t>（缩略版）</w:t>
      </w:r>
      <w:bookmarkEnd w:id="2"/>
      <w:bookmarkEnd w:id="3"/>
      <w:bookmarkEnd w:id="4"/>
    </w:p>
    <w:p>
      <w:pPr>
        <w:pStyle w:val="26"/>
        <w:shd w:val="clear" w:color="auto" w:fill="FFFFFF" w:themeFill="background1"/>
        <w:spacing w:line="560" w:lineRule="exact"/>
        <w:ind w:firstLine="643"/>
        <w:jc w:val="both"/>
        <w:outlineLvl w:val="0"/>
        <w:rPr>
          <w:rFonts w:ascii="Times New Roman" w:hAnsi="Times New Roman" w:eastAsia="黑体"/>
          <w:b/>
          <w:sz w:val="32"/>
        </w:rPr>
      </w:pPr>
      <w:bookmarkStart w:id="5" w:name="_Toc11888"/>
      <w:bookmarkStart w:id="6" w:name="_Toc27312"/>
      <w:bookmarkStart w:id="7" w:name="_Toc26153"/>
      <w:bookmarkStart w:id="8" w:name="_Toc17316"/>
      <w:r>
        <w:rPr>
          <w:rFonts w:hint="eastAsia" w:ascii="Times New Roman" w:hAnsi="Times New Roman" w:eastAsia="黑体"/>
          <w:b/>
          <w:sz w:val="32"/>
        </w:rPr>
        <w:t>一、自评</w:t>
      </w:r>
      <w:r>
        <w:rPr>
          <w:rFonts w:ascii="Times New Roman" w:hAnsi="Times New Roman" w:eastAsia="黑体"/>
          <w:b/>
          <w:sz w:val="32"/>
        </w:rPr>
        <w:t>结论</w:t>
      </w:r>
      <w:bookmarkEnd w:id="5"/>
      <w:bookmarkEnd w:id="6"/>
      <w:bookmarkEnd w:id="7"/>
      <w:bookmarkEnd w:id="8"/>
    </w:p>
    <w:p>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9" w:name="_Toc24793"/>
      <w:bookmarkStart w:id="10" w:name="_Toc22037"/>
      <w:bookmarkStart w:id="11" w:name="_Toc31042"/>
      <w:bookmarkStart w:id="12" w:name="_Toc27117"/>
      <w:r>
        <w:rPr>
          <w:rFonts w:hint="eastAsia" w:ascii="Times New Roman" w:hAnsi="Times New Roman" w:eastAsia="楷体" w:cs="Times New Roman"/>
        </w:rPr>
        <w:t>（一）自评得分</w:t>
      </w:r>
      <w:bookmarkEnd w:id="9"/>
      <w:bookmarkEnd w:id="10"/>
      <w:bookmarkEnd w:id="11"/>
      <w:bookmarkEnd w:id="12"/>
    </w:p>
    <w:p>
      <w:pPr>
        <w:ind w:firstLine="640"/>
        <w:rPr>
          <w:rFonts w:cs="Times New Roman"/>
          <w:color w:val="auto"/>
          <w:kern w:val="0"/>
          <w:szCs w:val="32"/>
        </w:rPr>
      </w:pPr>
      <w:r>
        <w:rPr>
          <w:rFonts w:hint="eastAsia"/>
          <w:lang w:eastAsia="zh-CN"/>
        </w:rPr>
        <w:t>武汉经济技术开发区（汉南区）住房和建设局</w:t>
      </w:r>
      <w:r>
        <w:rPr>
          <w:rFonts w:hint="eastAsia"/>
        </w:rPr>
        <w:t>202</w:t>
      </w:r>
      <w:r>
        <w:rPr>
          <w:rFonts w:hint="eastAsia"/>
          <w:lang w:val="en-US" w:eastAsia="zh-CN"/>
        </w:rPr>
        <w:t>2</w:t>
      </w:r>
      <w:r>
        <w:rPr>
          <w:rFonts w:hint="eastAsia"/>
        </w:rPr>
        <w:t>年度</w:t>
      </w:r>
      <w:r>
        <w:rPr>
          <w:rFonts w:hint="eastAsia"/>
          <w:lang w:eastAsia="zh-CN"/>
        </w:rPr>
        <w:t>建设工程施工图设计文件审查专项经费</w:t>
      </w:r>
      <w:r>
        <w:t>绩效评价综合得分为</w:t>
      </w:r>
      <w:r>
        <w:rPr>
          <w:rFonts w:hint="eastAsia"/>
          <w:lang w:val="en-US" w:eastAsia="zh-CN"/>
        </w:rPr>
        <w:t>96.11</w:t>
      </w:r>
      <w:r>
        <w:t>分。</w:t>
      </w:r>
    </w:p>
    <w:p>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13" w:name="_Toc19004"/>
      <w:bookmarkStart w:id="14" w:name="_Toc17113"/>
      <w:bookmarkStart w:id="15" w:name="_Toc6277"/>
      <w:bookmarkStart w:id="16" w:name="_Toc16152"/>
      <w:r>
        <w:rPr>
          <w:rFonts w:hint="eastAsia" w:ascii="Times New Roman" w:hAnsi="Times New Roman" w:eastAsia="楷体" w:cs="Times New Roman"/>
        </w:rPr>
        <w:t>（二）绩效目标完成情况</w:t>
      </w:r>
      <w:bookmarkEnd w:id="13"/>
      <w:bookmarkEnd w:id="14"/>
      <w:bookmarkEnd w:id="15"/>
      <w:bookmarkEnd w:id="16"/>
    </w:p>
    <w:p>
      <w:pPr>
        <w:ind w:firstLine="640"/>
        <w:rPr>
          <w:bCs/>
          <w:szCs w:val="32"/>
        </w:rPr>
      </w:pPr>
      <w:r>
        <w:rPr>
          <w:rFonts w:hint="eastAsia"/>
          <w:bCs/>
          <w:szCs w:val="32"/>
        </w:rPr>
        <w:t>1.执行率情况。</w:t>
      </w:r>
      <w:r>
        <w:rPr>
          <w:rFonts w:hint="eastAsia"/>
        </w:rPr>
        <w:t>202</w:t>
      </w:r>
      <w:r>
        <w:rPr>
          <w:rFonts w:hint="eastAsia"/>
          <w:lang w:val="en-US" w:eastAsia="zh-CN"/>
        </w:rPr>
        <w:t>2</w:t>
      </w:r>
      <w:r>
        <w:rPr>
          <w:rFonts w:hint="eastAsia"/>
        </w:rPr>
        <w:t>年度项目预算金额为</w:t>
      </w:r>
      <w:r>
        <w:rPr>
          <w:rFonts w:hint="eastAsia"/>
          <w:lang w:val="en-US" w:eastAsia="zh-CN"/>
        </w:rPr>
        <w:t>1,500.00</w:t>
      </w:r>
      <w:r>
        <w:rPr>
          <w:rFonts w:hint="eastAsia"/>
        </w:rPr>
        <w:t>万元。本项目年度实际支出1</w:t>
      </w:r>
      <w:r>
        <w:rPr>
          <w:rFonts w:hint="eastAsia"/>
          <w:lang w:val="en-US" w:eastAsia="zh-CN"/>
        </w:rPr>
        <w:t>,</w:t>
      </w:r>
      <w:r>
        <w:rPr>
          <w:rFonts w:hint="eastAsia"/>
        </w:rPr>
        <w:t>208.29万元，预算执行率为</w:t>
      </w:r>
      <w:r>
        <w:rPr>
          <w:rFonts w:hint="eastAsia"/>
          <w:lang w:val="en-US" w:eastAsia="zh-CN"/>
        </w:rPr>
        <w:t>80.55</w:t>
      </w:r>
      <w:r>
        <w:rPr>
          <w:rFonts w:hint="eastAsia"/>
        </w:rPr>
        <w:t>%</w:t>
      </w:r>
      <w:r>
        <w:t>。</w:t>
      </w:r>
    </w:p>
    <w:p>
      <w:pPr>
        <w:ind w:firstLine="640"/>
        <w:rPr>
          <w:bCs/>
          <w:szCs w:val="32"/>
        </w:rPr>
      </w:pPr>
      <w:r>
        <w:rPr>
          <w:rFonts w:hint="eastAsia"/>
          <w:bCs/>
          <w:szCs w:val="32"/>
        </w:rPr>
        <w:t>2.完成的绩效目标。</w:t>
      </w:r>
      <w:r>
        <w:rPr>
          <w:rFonts w:hint="eastAsia"/>
        </w:rPr>
        <w:t>本项目共设置</w:t>
      </w:r>
      <w:r>
        <w:rPr>
          <w:rFonts w:hint="eastAsia"/>
          <w:lang w:val="en-US" w:eastAsia="zh-CN"/>
        </w:rPr>
        <w:t>11</w:t>
      </w:r>
      <w:r>
        <w:rPr>
          <w:rFonts w:hint="eastAsia"/>
        </w:rPr>
        <w:t>个绩效指标，完成了</w:t>
      </w:r>
      <w:r>
        <w:rPr>
          <w:rFonts w:hint="eastAsia"/>
          <w:lang w:val="en-US" w:eastAsia="zh-CN"/>
        </w:rPr>
        <w:t>11</w:t>
      </w:r>
      <w:r>
        <w:rPr>
          <w:rFonts w:hint="eastAsia"/>
        </w:rPr>
        <w:t>个。资金使用较为规范，项目产出较好，并取得了较好的社会效益。</w:t>
      </w:r>
    </w:p>
    <w:p>
      <w:pPr>
        <w:ind w:firstLine="640"/>
        <w:rPr>
          <w:rFonts w:hint="default"/>
          <w:bCs/>
          <w:szCs w:val="32"/>
          <w:lang w:val="en-US"/>
        </w:rPr>
      </w:pPr>
      <w:r>
        <w:rPr>
          <w:rFonts w:hint="eastAsia"/>
          <w:bCs/>
          <w:szCs w:val="32"/>
        </w:rPr>
        <w:t>3.未完成的绩效目标。</w:t>
      </w:r>
      <w:r>
        <w:rPr>
          <w:rFonts w:hint="eastAsia"/>
          <w:lang w:val="en-US" w:eastAsia="zh-CN"/>
        </w:rPr>
        <w:t>本项目没有未完成的绩效目标。</w:t>
      </w:r>
    </w:p>
    <w:p>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17" w:name="_Toc12544"/>
      <w:bookmarkStart w:id="18" w:name="_Toc24094"/>
      <w:bookmarkStart w:id="19" w:name="_Toc49867096"/>
      <w:bookmarkStart w:id="20" w:name="_Toc14306"/>
      <w:bookmarkStart w:id="21" w:name="_Toc30659"/>
      <w:r>
        <w:rPr>
          <w:rFonts w:hint="eastAsia" w:ascii="Times New Roman" w:hAnsi="Times New Roman" w:eastAsia="楷体" w:cs="Times New Roman"/>
        </w:rPr>
        <w:t>（三）存在的问题和原因</w:t>
      </w:r>
      <w:bookmarkEnd w:id="17"/>
      <w:bookmarkEnd w:id="18"/>
      <w:bookmarkEnd w:id="19"/>
      <w:bookmarkEnd w:id="20"/>
      <w:bookmarkEnd w:id="21"/>
    </w:p>
    <w:p>
      <w:pPr>
        <w:widowControl/>
        <w:spacing w:line="360" w:lineRule="auto"/>
        <w:ind w:firstLine="640" w:firstLineChars="200"/>
        <w:outlineLvl w:val="2"/>
        <w:rPr>
          <w:rFonts w:hint="eastAsia" w:eastAsia="仿宋" w:cs="Times New Roman"/>
          <w:b/>
          <w:color w:val="000000" w:themeColor="text1"/>
          <w:sz w:val="32"/>
          <w:szCs w:val="32"/>
          <w14:textFill>
            <w14:solidFill>
              <w14:schemeClr w14:val="tx1"/>
            </w14:solidFill>
          </w14:textFill>
        </w:rPr>
      </w:pPr>
      <w:bookmarkStart w:id="22" w:name="_Toc3644"/>
      <w:r>
        <w:rPr>
          <w:rFonts w:hint="eastAsia" w:eastAsia="仿宋" w:cs="Times New Roman"/>
          <w:b/>
          <w:color w:val="000000" w:themeColor="text1"/>
          <w:sz w:val="32"/>
          <w:szCs w:val="32"/>
          <w14:textFill>
            <w14:solidFill>
              <w14:schemeClr w14:val="tx1"/>
            </w14:solidFill>
          </w14:textFill>
        </w:rPr>
        <w:t>1.上年度绩效评价结果应用情况</w:t>
      </w:r>
      <w:bookmarkEnd w:id="22"/>
    </w:p>
    <w:p>
      <w:pPr>
        <w:ind w:firstLine="640"/>
        <w:rPr>
          <w:rFonts w:hint="default" w:eastAsia="仿宋"/>
          <w:bCs/>
          <w:szCs w:val="32"/>
          <w:lang w:val="en-US" w:eastAsia="zh-CN"/>
        </w:rPr>
      </w:pPr>
      <w:r>
        <w:rPr>
          <w:rFonts w:hint="eastAsia"/>
          <w:bCs/>
          <w:szCs w:val="32"/>
          <w:lang w:val="en-US" w:eastAsia="zh-CN"/>
        </w:rPr>
        <w:t>本项目上年度实施了绩效自评并形成了项目自评报告</w:t>
      </w:r>
      <w:r>
        <w:rPr>
          <w:rFonts w:hint="eastAsia"/>
          <w:bCs/>
          <w:szCs w:val="32"/>
        </w:rPr>
        <w:t>。</w:t>
      </w:r>
      <w:r>
        <w:rPr>
          <w:rFonts w:hint="eastAsia"/>
          <w:bCs/>
          <w:szCs w:val="32"/>
          <w:lang w:val="en-US" w:eastAsia="zh-CN"/>
        </w:rPr>
        <w:t>对上年度绩效评价结果的具体应用体现在绩效指标进行了优化，调整了部分图审数量指标。</w:t>
      </w:r>
    </w:p>
    <w:p>
      <w:pPr>
        <w:widowControl/>
        <w:spacing w:line="360" w:lineRule="auto"/>
        <w:ind w:firstLine="640" w:firstLineChars="200"/>
        <w:outlineLvl w:val="2"/>
        <w:rPr>
          <w:rFonts w:hint="eastAsia" w:ascii="Times New Roman" w:hAnsi="Times New Roman" w:eastAsia="仿宋" w:cs="Times New Roman"/>
          <w:b/>
          <w:color w:val="000000" w:themeColor="text1"/>
          <w:sz w:val="32"/>
          <w:szCs w:val="32"/>
          <w14:textFill>
            <w14:solidFill>
              <w14:schemeClr w14:val="tx1"/>
            </w14:solidFill>
          </w14:textFill>
        </w:rPr>
      </w:pPr>
      <w:bookmarkStart w:id="23" w:name="_Toc29819"/>
      <w:r>
        <w:rPr>
          <w:rFonts w:hint="eastAsia" w:ascii="Times New Roman" w:hAnsi="Times New Roman" w:eastAsia="仿宋" w:cs="Times New Roman"/>
          <w:b/>
          <w:color w:val="000000" w:themeColor="text1"/>
          <w:sz w:val="32"/>
          <w:szCs w:val="32"/>
          <w14:textFill>
            <w14:solidFill>
              <w14:schemeClr w14:val="tx1"/>
            </w14:solidFill>
          </w14:textFill>
        </w:rPr>
        <w:t>2.本年度绩效管理中存在的问题和原因</w:t>
      </w:r>
      <w:bookmarkEnd w:id="23"/>
    </w:p>
    <w:p>
      <w:pPr>
        <w:ind w:firstLine="640"/>
        <w:rPr>
          <w:rFonts w:hint="eastAsia"/>
          <w:bCs/>
          <w:szCs w:val="32"/>
          <w:lang w:val="en-US" w:eastAsia="zh-CN"/>
        </w:rPr>
      </w:pPr>
      <w:r>
        <w:rPr>
          <w:rFonts w:hint="eastAsia"/>
          <w:bCs/>
          <w:szCs w:val="32"/>
        </w:rPr>
        <w:t>（1）</w:t>
      </w:r>
      <w:r>
        <w:rPr>
          <w:rFonts w:hint="eastAsia"/>
          <w:bCs/>
          <w:szCs w:val="32"/>
          <w:lang w:val="en-US" w:eastAsia="zh-CN"/>
        </w:rPr>
        <w:t>年初绩效指标设置不合理</w:t>
      </w:r>
      <w:r>
        <w:rPr>
          <w:rFonts w:hint="eastAsia"/>
          <w:bCs/>
          <w:szCs w:val="32"/>
        </w:rPr>
        <w:t>。</w:t>
      </w:r>
      <w:r>
        <w:rPr>
          <w:rFonts w:hint="eastAsia"/>
          <w:bCs/>
          <w:szCs w:val="32"/>
          <w:lang w:val="en-US" w:eastAsia="zh-CN"/>
        </w:rPr>
        <w:t>本项目2022年项目申报表中项目年度绩效指标内容填写不规范。例如：效益指标内容表述为“全区建设工程施工图审查工作规范、高效、便民。按政务公开流程受理，全程网办率提高”指标内容复杂，可将该指标分为两个效益指标如“图审工时缩减率”和“营商环境优化度”。</w:t>
      </w:r>
    </w:p>
    <w:p>
      <w:pPr>
        <w:pStyle w:val="4"/>
        <w:shd w:val="clear" w:color="auto" w:fill="FFFFFF" w:themeFill="background1"/>
        <w:spacing w:before="0" w:after="0" w:line="560" w:lineRule="exact"/>
        <w:ind w:firstLine="643"/>
        <w:contextualSpacing/>
        <w:jc w:val="left"/>
        <w:rPr>
          <w:rFonts w:hint="eastAsia" w:ascii="Times New Roman" w:hAnsi="Times New Roman" w:eastAsia="楷体" w:cs="Times New Roman"/>
        </w:rPr>
      </w:pPr>
      <w:bookmarkStart w:id="24" w:name="_Toc9638"/>
      <w:bookmarkStart w:id="25" w:name="_Toc8732"/>
      <w:bookmarkStart w:id="26" w:name="_Toc11879"/>
      <w:bookmarkStart w:id="27" w:name="_Toc10441"/>
      <w:r>
        <w:rPr>
          <w:rFonts w:hint="eastAsia" w:ascii="Times New Roman" w:hAnsi="Times New Roman" w:eastAsia="楷体" w:cs="Times New Roman"/>
        </w:rPr>
        <w:t>（四）下一步拟改进措施</w:t>
      </w:r>
      <w:bookmarkEnd w:id="24"/>
      <w:bookmarkEnd w:id="25"/>
      <w:bookmarkEnd w:id="26"/>
      <w:bookmarkEnd w:id="27"/>
    </w:p>
    <w:p>
      <w:pPr>
        <w:widowControl/>
        <w:spacing w:line="360" w:lineRule="auto"/>
        <w:ind w:firstLine="640"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1.下一步拟改进措施</w:t>
      </w:r>
    </w:p>
    <w:p>
      <w:pPr>
        <w:ind w:firstLine="640"/>
        <w:rPr>
          <w:rFonts w:hint="eastAsia"/>
          <w:szCs w:val="32"/>
          <w:lang w:val="en-US" w:eastAsia="zh-CN"/>
        </w:rPr>
      </w:pPr>
      <w:r>
        <w:rPr>
          <w:rFonts w:hint="eastAsia"/>
          <w:szCs w:val="32"/>
        </w:rPr>
        <w:t>提高预算绩效指标编制水平。结合上一年度预算执行情况和本年度工作重点，合理编制绩效目标指标体系。</w:t>
      </w:r>
      <w:r>
        <w:rPr>
          <w:rFonts w:hint="eastAsia"/>
          <w:szCs w:val="32"/>
          <w:lang w:val="en-US" w:eastAsia="zh-CN"/>
        </w:rPr>
        <w:t>加强图审质量的考核，例如在质量指标中新增“整改项目闭合率”，考核下达整改问题“回头看”情况。</w:t>
      </w:r>
    </w:p>
    <w:p>
      <w:pPr>
        <w:widowControl/>
        <w:spacing w:line="360" w:lineRule="auto"/>
        <w:ind w:firstLine="640" w:firstLineChars="200"/>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2.拟与预算安排相结合情况</w:t>
      </w:r>
    </w:p>
    <w:p>
      <w:pPr>
        <w:pStyle w:val="2"/>
        <w:spacing w:after="0" w:line="360" w:lineRule="auto"/>
        <w:ind w:firstLine="640" w:firstLineChars="200"/>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本项目绩效指标设置不够</w:t>
      </w:r>
      <w:r>
        <w:rPr>
          <w:rFonts w:hint="eastAsia" w:eastAsia="仿宋"/>
          <w:color w:val="000000" w:themeColor="text1"/>
          <w:sz w:val="32"/>
          <w:szCs w:val="32"/>
          <w:lang w:val="en-US" w:eastAsia="zh-CN"/>
          <w14:textFill>
            <w14:solidFill>
              <w14:schemeClr w14:val="tx1"/>
            </w14:solidFill>
          </w14:textFill>
        </w:rPr>
        <w:t>完善</w:t>
      </w:r>
      <w:r>
        <w:rPr>
          <w:rFonts w:hint="eastAsia" w:eastAsia="仿宋"/>
          <w:color w:val="000000" w:themeColor="text1"/>
          <w:sz w:val="32"/>
          <w:szCs w:val="32"/>
          <w14:textFill>
            <w14:solidFill>
              <w14:schemeClr w14:val="tx1"/>
            </w14:solidFill>
          </w14:textFill>
        </w:rPr>
        <w:t>。通过本次自评，梳理项目内容，完善绩效指标编制。拟</w:t>
      </w:r>
      <w:r>
        <w:rPr>
          <w:rFonts w:hint="eastAsia"/>
          <w:color w:val="000000" w:themeColor="text1"/>
          <w:sz w:val="32"/>
          <w:szCs w:val="32"/>
          <w:lang w:val="en-US" w:eastAsia="zh-CN"/>
          <w14:textFill>
            <w14:solidFill>
              <w14:schemeClr w14:val="tx1"/>
            </w14:solidFill>
          </w14:textFill>
        </w:rPr>
        <w:t>将社会效益指标调整为“图审工时缩减率”、“营商环境优化度”，各</w:t>
      </w:r>
      <w:r>
        <w:rPr>
          <w:rFonts w:hint="eastAsia" w:eastAsia="仿宋"/>
          <w:color w:val="000000" w:themeColor="text1"/>
          <w:sz w:val="32"/>
          <w:szCs w:val="32"/>
          <w14:textFill>
            <w14:solidFill>
              <w14:schemeClr w14:val="tx1"/>
            </w14:solidFill>
          </w14:textFill>
        </w:rPr>
        <w:t>指标值</w:t>
      </w:r>
      <w:r>
        <w:rPr>
          <w:rFonts w:hint="eastAsia"/>
          <w:color w:val="000000" w:themeColor="text1"/>
          <w:sz w:val="32"/>
          <w:szCs w:val="32"/>
          <w:lang w:val="en-US" w:eastAsia="zh-CN"/>
          <w14:textFill>
            <w14:solidFill>
              <w14:schemeClr w14:val="tx1"/>
            </w14:solidFill>
          </w14:textFill>
        </w:rPr>
        <w:t>根据工作目标</w:t>
      </w:r>
      <w:r>
        <w:rPr>
          <w:rFonts w:hint="eastAsia" w:eastAsia="仿宋"/>
          <w:color w:val="000000" w:themeColor="text1"/>
          <w:sz w:val="32"/>
          <w:szCs w:val="32"/>
          <w:lang w:val="en-US" w:eastAsia="zh-CN"/>
          <w14:textFill>
            <w14:solidFill>
              <w14:schemeClr w14:val="tx1"/>
            </w14:solidFill>
          </w14:textFill>
        </w:rPr>
        <w:t>进行</w:t>
      </w:r>
      <w:r>
        <w:rPr>
          <w:rFonts w:hint="eastAsia"/>
          <w:color w:val="000000" w:themeColor="text1"/>
          <w:sz w:val="32"/>
          <w:szCs w:val="32"/>
          <w:lang w:val="en-US" w:eastAsia="zh-CN"/>
          <w14:textFill>
            <w14:solidFill>
              <w14:schemeClr w14:val="tx1"/>
            </w14:solidFill>
          </w14:textFill>
        </w:rPr>
        <w:t>调整</w:t>
      </w:r>
      <w:r>
        <w:rPr>
          <w:rFonts w:hint="eastAsia" w:eastAsia="仿宋"/>
          <w:color w:val="000000" w:themeColor="text1"/>
          <w:sz w:val="32"/>
          <w:szCs w:val="32"/>
          <w14:textFill>
            <w14:solidFill>
              <w14:schemeClr w14:val="tx1"/>
            </w14:solidFill>
          </w14:textFill>
        </w:rPr>
        <w:t>。</w:t>
      </w:r>
    </w:p>
    <w:p>
      <w:pPr>
        <w:ind w:firstLine="640"/>
        <w:rPr>
          <w:rFonts w:hint="eastAsia"/>
          <w:bCs/>
          <w:szCs w:val="32"/>
        </w:rPr>
      </w:pPr>
    </w:p>
    <w:p>
      <w:pPr>
        <w:ind w:firstLine="640"/>
      </w:pPr>
      <w:r>
        <w:rPr>
          <w:rFonts w:hint="eastAsia"/>
          <w:bCs/>
          <w:szCs w:val="32"/>
        </w:rPr>
        <w:t>附件：202</w:t>
      </w:r>
      <w:r>
        <w:rPr>
          <w:rFonts w:hint="eastAsia"/>
          <w:bCs/>
          <w:szCs w:val="32"/>
          <w:lang w:val="en-US" w:eastAsia="zh-CN"/>
        </w:rPr>
        <w:t>2</w:t>
      </w:r>
      <w:r>
        <w:rPr>
          <w:rFonts w:hint="eastAsia"/>
          <w:bCs/>
          <w:szCs w:val="32"/>
        </w:rPr>
        <w:t>年度</w:t>
      </w:r>
      <w:r>
        <w:rPr>
          <w:rFonts w:hint="eastAsia"/>
          <w:bCs/>
          <w:szCs w:val="32"/>
          <w:lang w:eastAsia="zh-CN"/>
        </w:rPr>
        <w:t>建设工程施工图设计文件审查专项经费</w:t>
      </w:r>
      <w:r>
        <w:rPr>
          <w:rFonts w:hint="eastAsia"/>
          <w:bCs/>
          <w:szCs w:val="32"/>
        </w:rPr>
        <w:t>自评表</w:t>
      </w:r>
    </w:p>
    <w:p>
      <w:pPr>
        <w:ind w:firstLineChars="175"/>
        <w:rPr>
          <w:rFonts w:hint="default" w:eastAsia="楷体" w:cs="Times New Roman"/>
          <w:lang w:val="en-US"/>
        </w:rPr>
      </w:pPr>
      <w:r>
        <w:rPr>
          <w:rFonts w:hint="eastAsia" w:cs="Times New Roman"/>
          <w:color w:val="auto"/>
          <w:kern w:val="0"/>
          <w:szCs w:val="32"/>
        </w:rPr>
        <w:br w:type="page"/>
      </w:r>
      <w:bookmarkStart w:id="28" w:name="_Toc11755"/>
      <w:bookmarkStart w:id="29" w:name="_Toc3349"/>
      <w:bookmarkStart w:id="30" w:name="_Toc16053"/>
      <w:bookmarkStart w:id="31" w:name="_Toc29700"/>
      <w:r>
        <w:rPr>
          <w:rFonts w:hint="eastAsia" w:eastAsia="楷体" w:cs="Times New Roman"/>
        </w:rPr>
        <w:t>附件：</w:t>
      </w:r>
    </w:p>
    <w:tbl>
      <w:tblPr>
        <w:tblStyle w:val="28"/>
        <w:tblW w:w="5000" w:type="pct"/>
        <w:tblInd w:w="0" w:type="dxa"/>
        <w:tblLayout w:type="autofit"/>
        <w:tblCellMar>
          <w:top w:w="0" w:type="dxa"/>
          <w:left w:w="108" w:type="dxa"/>
          <w:bottom w:w="0" w:type="dxa"/>
          <w:right w:w="108" w:type="dxa"/>
        </w:tblCellMar>
      </w:tblPr>
      <w:tblGrid>
        <w:gridCol w:w="528"/>
        <w:gridCol w:w="976"/>
        <w:gridCol w:w="1146"/>
        <w:gridCol w:w="2501"/>
        <w:gridCol w:w="1147"/>
        <w:gridCol w:w="1508"/>
        <w:gridCol w:w="1254"/>
      </w:tblGrid>
      <w:tr>
        <w:trPr>
          <w:trHeight w:val="600" w:hRule="atLeast"/>
        </w:trPr>
        <w:tc>
          <w:tcPr>
            <w:tcW w:w="5000" w:type="pct"/>
            <w:gridSpan w:val="7"/>
            <w:tcBorders>
              <w:top w:val="nil"/>
              <w:left w:val="nil"/>
              <w:bottom w:val="nil"/>
              <w:right w:val="nil"/>
            </w:tcBorders>
            <w:shd w:val="clear" w:color="auto" w:fill="auto"/>
            <w:vAlign w:val="center"/>
          </w:tcPr>
          <w:p>
            <w:pPr>
              <w:widowControl/>
              <w:spacing w:line="240" w:lineRule="auto"/>
              <w:ind w:firstLine="0" w:firstLineChars="0"/>
              <w:jc w:val="center"/>
              <w:rPr>
                <w:rFonts w:ascii="仿宋" w:hAnsi="仿宋"/>
                <w:b/>
                <w:bCs/>
                <w:kern w:val="0"/>
                <w:szCs w:val="32"/>
              </w:rPr>
            </w:pPr>
            <w:r>
              <w:rPr>
                <w:rFonts w:hint="eastAsia" w:ascii="仿宋" w:hAnsi="仿宋"/>
                <w:b/>
                <w:bCs/>
                <w:kern w:val="0"/>
                <w:szCs w:val="32"/>
              </w:rPr>
              <w:t>202</w:t>
            </w:r>
            <w:r>
              <w:rPr>
                <w:rFonts w:hint="eastAsia" w:ascii="仿宋" w:hAnsi="仿宋"/>
                <w:b/>
                <w:bCs/>
                <w:kern w:val="0"/>
                <w:szCs w:val="32"/>
                <w:lang w:val="en-US" w:eastAsia="zh-CN"/>
              </w:rPr>
              <w:t>2</w:t>
            </w:r>
            <w:r>
              <w:rPr>
                <w:rFonts w:hint="eastAsia" w:ascii="仿宋" w:hAnsi="仿宋"/>
                <w:b/>
                <w:bCs/>
                <w:kern w:val="0"/>
                <w:szCs w:val="32"/>
              </w:rPr>
              <w:t>年度</w:t>
            </w:r>
            <w:r>
              <w:rPr>
                <w:rFonts w:hint="eastAsia" w:ascii="仿宋" w:hAnsi="仿宋"/>
                <w:b/>
                <w:bCs/>
                <w:kern w:val="0"/>
                <w:szCs w:val="32"/>
                <w:lang w:eastAsia="zh-CN"/>
              </w:rPr>
              <w:t>建设工程施工图设计文件审查专项经费</w:t>
            </w:r>
            <w:r>
              <w:rPr>
                <w:rFonts w:hint="eastAsia" w:ascii="仿宋" w:hAnsi="仿宋"/>
                <w:b/>
                <w:bCs/>
                <w:kern w:val="0"/>
                <w:szCs w:val="32"/>
              </w:rPr>
              <w:t xml:space="preserve">项目自评表 </w:t>
            </w:r>
          </w:p>
        </w:tc>
      </w:tr>
      <w:tr>
        <w:tblPrEx>
          <w:tblCellMar>
            <w:top w:w="0" w:type="dxa"/>
            <w:left w:w="108" w:type="dxa"/>
            <w:bottom w:w="0" w:type="dxa"/>
            <w:right w:w="108" w:type="dxa"/>
          </w:tblCellMar>
        </w:tblPrEx>
        <w:trPr>
          <w:trHeight w:val="432" w:hRule="atLeast"/>
        </w:trPr>
        <w:tc>
          <w:tcPr>
            <w:tcW w:w="5000" w:type="pct"/>
            <w:gridSpan w:val="7"/>
            <w:tcBorders>
              <w:top w:val="nil"/>
              <w:left w:val="nil"/>
              <w:bottom w:val="single" w:color="auto" w:sz="4" w:space="0"/>
              <w:right w:val="nil"/>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单位名称：</w:t>
            </w:r>
            <w:r>
              <w:rPr>
                <w:rFonts w:hint="eastAsia" w:ascii="仿宋" w:hAnsi="仿宋"/>
                <w:kern w:val="0"/>
                <w:sz w:val="20"/>
                <w:szCs w:val="20"/>
                <w:lang w:eastAsia="zh-CN"/>
              </w:rPr>
              <w:t>武汉经济技术开发区（汉南区）住房和建设局</w:t>
            </w:r>
            <w:r>
              <w:rPr>
                <w:rFonts w:hint="eastAsia" w:ascii="仿宋" w:hAnsi="仿宋"/>
                <w:kern w:val="0"/>
                <w:sz w:val="20"/>
                <w:szCs w:val="20"/>
              </w:rPr>
              <w:t xml:space="preserve">                         </w:t>
            </w:r>
          </w:p>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填报日期：202</w:t>
            </w:r>
            <w:r>
              <w:rPr>
                <w:rFonts w:hint="eastAsia" w:ascii="仿宋" w:hAnsi="仿宋"/>
                <w:kern w:val="0"/>
                <w:sz w:val="20"/>
                <w:szCs w:val="20"/>
                <w:lang w:val="en-US" w:eastAsia="zh-CN"/>
              </w:rPr>
              <w:t>3</w:t>
            </w:r>
            <w:r>
              <w:rPr>
                <w:rFonts w:hint="eastAsia" w:ascii="仿宋" w:hAnsi="仿宋"/>
                <w:kern w:val="0"/>
                <w:sz w:val="20"/>
                <w:szCs w:val="20"/>
              </w:rPr>
              <w:t>年</w:t>
            </w:r>
            <w:r>
              <w:rPr>
                <w:rFonts w:hint="eastAsia" w:ascii="仿宋" w:hAnsi="仿宋"/>
                <w:kern w:val="0"/>
                <w:sz w:val="20"/>
                <w:szCs w:val="20"/>
                <w:lang w:val="en-US" w:eastAsia="zh-CN"/>
              </w:rPr>
              <w:t>4</w:t>
            </w:r>
            <w:r>
              <w:rPr>
                <w:rFonts w:hint="eastAsia" w:ascii="仿宋" w:hAnsi="仿宋"/>
                <w:kern w:val="0"/>
                <w:sz w:val="20"/>
                <w:szCs w:val="20"/>
              </w:rPr>
              <w:t>月</w:t>
            </w:r>
            <w:r>
              <w:rPr>
                <w:rFonts w:hint="eastAsia" w:ascii="仿宋" w:hAnsi="仿宋"/>
                <w:kern w:val="0"/>
                <w:sz w:val="20"/>
                <w:szCs w:val="20"/>
                <w:lang w:val="en-US" w:eastAsia="zh-CN"/>
              </w:rPr>
              <w:t>20</w:t>
            </w:r>
            <w:r>
              <w:rPr>
                <w:rFonts w:hint="eastAsia" w:ascii="仿宋" w:hAnsi="仿宋"/>
                <w:kern w:val="0"/>
                <w:sz w:val="20"/>
                <w:szCs w:val="20"/>
              </w:rPr>
              <w:t>日</w:t>
            </w:r>
          </w:p>
        </w:tc>
      </w:tr>
      <w:tr>
        <w:tblPrEx>
          <w:tblCellMar>
            <w:top w:w="0" w:type="dxa"/>
            <w:left w:w="108" w:type="dxa"/>
            <w:bottom w:w="0" w:type="dxa"/>
            <w:right w:w="108" w:type="dxa"/>
          </w:tblCellMar>
        </w:tblPrEx>
        <w:trPr>
          <w:trHeight w:val="420" w:hRule="atLeast"/>
        </w:trPr>
        <w:tc>
          <w:tcPr>
            <w:tcW w:w="83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项目名称</w:t>
            </w:r>
          </w:p>
        </w:tc>
        <w:tc>
          <w:tcPr>
            <w:tcW w:w="4169" w:type="pct"/>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eastAsia="zh-CN"/>
              </w:rPr>
            </w:pPr>
            <w:r>
              <w:rPr>
                <w:rFonts w:hint="eastAsia" w:ascii="仿宋" w:hAnsi="仿宋"/>
                <w:kern w:val="0"/>
                <w:sz w:val="20"/>
                <w:szCs w:val="20"/>
                <w:lang w:eastAsia="zh-CN"/>
              </w:rPr>
              <w:t>建设工程施工图设计文件审查专项经费</w:t>
            </w:r>
          </w:p>
        </w:tc>
      </w:tr>
      <w:tr>
        <w:tblPrEx>
          <w:tblCellMar>
            <w:top w:w="0" w:type="dxa"/>
            <w:left w:w="108" w:type="dxa"/>
            <w:bottom w:w="0" w:type="dxa"/>
            <w:right w:w="108" w:type="dxa"/>
          </w:tblCellMar>
        </w:tblPrEx>
        <w:trPr>
          <w:trHeight w:val="720" w:hRule="atLeast"/>
        </w:trPr>
        <w:tc>
          <w:tcPr>
            <w:tcW w:w="83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主管部门</w:t>
            </w:r>
          </w:p>
        </w:tc>
        <w:tc>
          <w:tcPr>
            <w:tcW w:w="2013"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eastAsia="zh-CN"/>
              </w:rPr>
            </w:pPr>
            <w:r>
              <w:rPr>
                <w:rFonts w:hint="eastAsia" w:ascii="仿宋" w:hAnsi="仿宋"/>
                <w:kern w:val="0"/>
                <w:sz w:val="20"/>
                <w:szCs w:val="20"/>
                <w:lang w:eastAsia="zh-CN"/>
              </w:rPr>
              <w:t>武汉经济技术开发区（汉南区）</w:t>
            </w:r>
          </w:p>
          <w:p>
            <w:pPr>
              <w:widowControl/>
              <w:spacing w:line="240" w:lineRule="auto"/>
              <w:ind w:firstLine="0" w:firstLineChars="0"/>
              <w:jc w:val="center"/>
              <w:rPr>
                <w:rFonts w:hint="eastAsia" w:ascii="仿宋" w:hAnsi="仿宋" w:eastAsia="仿宋"/>
                <w:kern w:val="0"/>
                <w:sz w:val="20"/>
                <w:szCs w:val="20"/>
                <w:lang w:eastAsia="zh-CN"/>
              </w:rPr>
            </w:pPr>
            <w:r>
              <w:rPr>
                <w:rFonts w:hint="eastAsia" w:ascii="仿宋" w:hAnsi="仿宋"/>
                <w:kern w:val="0"/>
                <w:sz w:val="20"/>
                <w:szCs w:val="20"/>
                <w:lang w:eastAsia="zh-CN"/>
              </w:rPr>
              <w:t>住房和建设局</w:t>
            </w:r>
          </w:p>
        </w:tc>
        <w:tc>
          <w:tcPr>
            <w:tcW w:w="6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项目实施单位</w:t>
            </w:r>
          </w:p>
        </w:tc>
        <w:tc>
          <w:tcPr>
            <w:tcW w:w="1523" w:type="pct"/>
            <w:gridSpan w:val="2"/>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kern w:val="0"/>
                <w:sz w:val="20"/>
                <w:szCs w:val="20"/>
                <w:lang w:val="en-US"/>
              </w:rPr>
            </w:pPr>
            <w:r>
              <w:rPr>
                <w:rFonts w:hint="eastAsia" w:ascii="仿宋" w:hAnsi="仿宋"/>
                <w:kern w:val="0"/>
                <w:sz w:val="20"/>
                <w:szCs w:val="20"/>
                <w:lang w:val="en-US" w:eastAsia="zh-CN"/>
              </w:rPr>
              <w:t>武汉经济技术开发区（汉南区）建筑管理站</w:t>
            </w:r>
          </w:p>
        </w:tc>
      </w:tr>
      <w:tr>
        <w:tblPrEx>
          <w:tblCellMar>
            <w:top w:w="0" w:type="dxa"/>
            <w:left w:w="108" w:type="dxa"/>
            <w:bottom w:w="0" w:type="dxa"/>
            <w:right w:w="108" w:type="dxa"/>
          </w:tblCellMar>
        </w:tblPrEx>
        <w:trPr>
          <w:trHeight w:val="720" w:hRule="atLeast"/>
        </w:trPr>
        <w:tc>
          <w:tcPr>
            <w:tcW w:w="830"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项目类别</w:t>
            </w:r>
          </w:p>
        </w:tc>
        <w:tc>
          <w:tcPr>
            <w:tcW w:w="4169"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1.部门预算项目    </w:t>
            </w:r>
            <w:r>
              <w:rPr>
                <w:rFonts w:ascii="Wingdings" w:hAnsi="Wingdings"/>
                <w:kern w:val="0"/>
                <w:sz w:val="20"/>
                <w:szCs w:val="20"/>
              </w:rPr>
              <w:sym w:font="Wingdings" w:char="00FE"/>
            </w:r>
            <w:r>
              <w:rPr>
                <w:rFonts w:hint="eastAsia" w:ascii="仿宋" w:hAnsi="仿宋"/>
                <w:kern w:val="0"/>
                <w:sz w:val="20"/>
                <w:szCs w:val="20"/>
              </w:rPr>
              <w:t xml:space="preserve">           2.财政专项资金   □</w:t>
            </w:r>
          </w:p>
        </w:tc>
      </w:tr>
      <w:tr>
        <w:tblPrEx>
          <w:tblCellMar>
            <w:top w:w="0" w:type="dxa"/>
            <w:left w:w="108" w:type="dxa"/>
            <w:bottom w:w="0" w:type="dxa"/>
            <w:right w:w="108" w:type="dxa"/>
          </w:tblCellMar>
        </w:tblPrEx>
        <w:trPr>
          <w:trHeight w:val="720" w:hRule="atLeast"/>
        </w:trPr>
        <w:tc>
          <w:tcPr>
            <w:tcW w:w="830"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项目属性</w:t>
            </w:r>
          </w:p>
        </w:tc>
        <w:tc>
          <w:tcPr>
            <w:tcW w:w="4169"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1.持续性项目      </w:t>
            </w:r>
            <w:r>
              <w:rPr>
                <w:rFonts w:ascii="Wingdings" w:hAnsi="Wingdings"/>
                <w:kern w:val="0"/>
                <w:sz w:val="20"/>
                <w:szCs w:val="20"/>
              </w:rPr>
              <w:t>þ</w:t>
            </w:r>
            <w:r>
              <w:rPr>
                <w:rFonts w:hint="eastAsia" w:ascii="仿宋" w:hAnsi="仿宋"/>
                <w:kern w:val="0"/>
                <w:sz w:val="20"/>
                <w:szCs w:val="20"/>
              </w:rPr>
              <w:t xml:space="preserve">           2.新增性项目     □</w:t>
            </w:r>
          </w:p>
        </w:tc>
      </w:tr>
      <w:tr>
        <w:tblPrEx>
          <w:tblCellMar>
            <w:top w:w="0" w:type="dxa"/>
            <w:left w:w="108" w:type="dxa"/>
            <w:bottom w:w="0" w:type="dxa"/>
            <w:right w:w="108" w:type="dxa"/>
          </w:tblCellMar>
        </w:tblPrEx>
        <w:trPr>
          <w:trHeight w:val="720" w:hRule="atLeast"/>
        </w:trPr>
        <w:tc>
          <w:tcPr>
            <w:tcW w:w="830" w:type="pct"/>
            <w:gridSpan w:val="2"/>
            <w:tcBorders>
              <w:top w:val="single" w:color="auto" w:sz="4" w:space="0"/>
              <w:left w:val="single" w:color="auto" w:sz="4" w:space="0"/>
              <w:bottom w:val="single" w:color="auto" w:sz="4" w:space="0"/>
              <w:right w:val="single" w:color="000000"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项目类型</w:t>
            </w:r>
          </w:p>
        </w:tc>
        <w:tc>
          <w:tcPr>
            <w:tcW w:w="4169" w:type="pct"/>
            <w:gridSpan w:val="5"/>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 xml:space="preserve">1.常年性项目      </w:t>
            </w:r>
            <w:r>
              <w:rPr>
                <w:rFonts w:ascii="Wingdings" w:hAnsi="Wingdings"/>
                <w:kern w:val="0"/>
                <w:sz w:val="20"/>
                <w:szCs w:val="20"/>
              </w:rPr>
              <w:t>þ</w:t>
            </w:r>
            <w:r>
              <w:rPr>
                <w:rFonts w:hint="eastAsia" w:ascii="仿宋" w:hAnsi="仿宋"/>
                <w:kern w:val="0"/>
                <w:sz w:val="20"/>
                <w:szCs w:val="20"/>
              </w:rPr>
              <w:t xml:space="preserve">           2.延续性项目     □     3.一次性项目    □</w:t>
            </w:r>
          </w:p>
        </w:tc>
      </w:tr>
      <w:tr>
        <w:tblPrEx>
          <w:tblCellMar>
            <w:top w:w="0" w:type="dxa"/>
            <w:left w:w="108" w:type="dxa"/>
            <w:bottom w:w="0" w:type="dxa"/>
            <w:right w:w="108" w:type="dxa"/>
          </w:tblCellMar>
        </w:tblPrEx>
        <w:trPr>
          <w:trHeight w:val="705" w:hRule="atLeast"/>
        </w:trPr>
        <w:tc>
          <w:tcPr>
            <w:tcW w:w="8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预算执行情况</w:t>
            </w:r>
            <w:r>
              <w:rPr>
                <w:rFonts w:hint="eastAsia" w:ascii="仿宋" w:hAnsi="仿宋"/>
                <w:kern w:val="0"/>
                <w:sz w:val="20"/>
                <w:szCs w:val="20"/>
              </w:rPr>
              <w:br w:type="textWrapping"/>
            </w:r>
            <w:r>
              <w:rPr>
                <w:rFonts w:hint="eastAsia" w:ascii="仿宋" w:hAnsi="仿宋"/>
                <w:kern w:val="0"/>
                <w:sz w:val="20"/>
                <w:szCs w:val="20"/>
              </w:rPr>
              <w:t>（万元）</w:t>
            </w:r>
            <w:r>
              <w:rPr>
                <w:rFonts w:hint="eastAsia" w:ascii="仿宋" w:hAnsi="仿宋"/>
                <w:kern w:val="0"/>
                <w:sz w:val="20"/>
                <w:szCs w:val="20"/>
              </w:rPr>
              <w:br w:type="textWrapping"/>
            </w:r>
            <w:r>
              <w:rPr>
                <w:rFonts w:hint="eastAsia" w:ascii="仿宋" w:hAnsi="仿宋"/>
                <w:kern w:val="0"/>
                <w:sz w:val="20"/>
                <w:szCs w:val="20"/>
              </w:rPr>
              <w:t>（20分）</w:t>
            </w:r>
          </w:p>
        </w:tc>
        <w:tc>
          <w:tcPr>
            <w:tcW w:w="633" w:type="pct"/>
            <w:vMerge w:val="restart"/>
            <w:tcBorders>
              <w:top w:val="nil"/>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年度财政资金总额</w:t>
            </w:r>
          </w:p>
        </w:tc>
        <w:tc>
          <w:tcPr>
            <w:tcW w:w="1380"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预算数（A）</w:t>
            </w:r>
          </w:p>
        </w:tc>
        <w:tc>
          <w:tcPr>
            <w:tcW w:w="6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执行数（B）</w:t>
            </w:r>
          </w:p>
        </w:tc>
        <w:tc>
          <w:tcPr>
            <w:tcW w:w="832"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执行率(B/A)</w:t>
            </w:r>
          </w:p>
        </w:tc>
        <w:tc>
          <w:tcPr>
            <w:tcW w:w="69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得分(20分*执行率)</w:t>
            </w:r>
          </w:p>
        </w:tc>
      </w:tr>
      <w:tr>
        <w:tblPrEx>
          <w:tblCellMar>
            <w:top w:w="0" w:type="dxa"/>
            <w:left w:w="108" w:type="dxa"/>
            <w:bottom w:w="0" w:type="dxa"/>
            <w:right w:w="108" w:type="dxa"/>
          </w:tblCellMar>
        </w:tblPrEx>
        <w:trPr>
          <w:trHeight w:val="525" w:hRule="atLeast"/>
        </w:trPr>
        <w:tc>
          <w:tcPr>
            <w:tcW w:w="830" w:type="pct"/>
            <w:gridSpan w:val="2"/>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633"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1380"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15</w:t>
            </w:r>
            <w:r>
              <w:rPr>
                <w:rFonts w:hint="eastAsia" w:ascii="仿宋" w:hAnsi="仿宋"/>
                <w:kern w:val="0"/>
                <w:sz w:val="20"/>
                <w:szCs w:val="20"/>
                <w:lang w:val="en-US" w:eastAsia="zh-CN"/>
              </w:rPr>
              <w:t>00</w:t>
            </w:r>
            <w:r>
              <w:rPr>
                <w:rFonts w:hint="eastAsia" w:ascii="仿宋" w:hAnsi="仿宋"/>
                <w:kern w:val="0"/>
                <w:sz w:val="20"/>
                <w:szCs w:val="20"/>
              </w:rPr>
              <w:t xml:space="preserve"> </w:t>
            </w:r>
          </w:p>
        </w:tc>
        <w:tc>
          <w:tcPr>
            <w:tcW w:w="6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1208.29</w:t>
            </w:r>
          </w:p>
        </w:tc>
        <w:tc>
          <w:tcPr>
            <w:tcW w:w="832"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80.55</w:t>
            </w:r>
            <w:r>
              <w:rPr>
                <w:rFonts w:hint="eastAsia" w:ascii="仿宋" w:hAnsi="仿宋"/>
                <w:kern w:val="0"/>
                <w:sz w:val="20"/>
                <w:szCs w:val="20"/>
              </w:rPr>
              <w:t>%</w:t>
            </w:r>
          </w:p>
        </w:tc>
        <w:tc>
          <w:tcPr>
            <w:tcW w:w="69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16.11</w:t>
            </w:r>
          </w:p>
        </w:tc>
      </w:tr>
      <w:tr>
        <w:tblPrEx>
          <w:tblCellMar>
            <w:top w:w="0" w:type="dxa"/>
            <w:left w:w="108" w:type="dxa"/>
            <w:bottom w:w="0" w:type="dxa"/>
            <w:right w:w="108" w:type="dxa"/>
          </w:tblCellMar>
        </w:tblPrEx>
        <w:trPr>
          <w:trHeight w:val="720" w:hRule="atLeast"/>
        </w:trPr>
        <w:tc>
          <w:tcPr>
            <w:tcW w:w="291" w:type="pct"/>
            <w:vMerge w:val="restart"/>
            <w:tcBorders>
              <w:top w:val="nil"/>
              <w:left w:val="single" w:color="auto" w:sz="4" w:space="0"/>
              <w:bottom w:val="single" w:color="000000" w:sz="4" w:space="0"/>
              <w:right w:val="single" w:color="auto" w:sz="4" w:space="0"/>
            </w:tcBorders>
            <w:shd w:val="clear" w:color="auto" w:fill="auto"/>
            <w:textDirection w:val="tbRlV"/>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年度绩效目标</w:t>
            </w:r>
          </w:p>
        </w:tc>
        <w:tc>
          <w:tcPr>
            <w:tcW w:w="538"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一级</w:t>
            </w:r>
            <w:r>
              <w:rPr>
                <w:rFonts w:hint="eastAsia" w:ascii="仿宋" w:hAnsi="仿宋"/>
                <w:kern w:val="0"/>
                <w:sz w:val="20"/>
                <w:szCs w:val="20"/>
              </w:rPr>
              <w:br w:type="textWrapping"/>
            </w:r>
            <w:r>
              <w:rPr>
                <w:rFonts w:hint="eastAsia" w:ascii="仿宋" w:hAnsi="仿宋"/>
                <w:kern w:val="0"/>
                <w:sz w:val="20"/>
                <w:szCs w:val="20"/>
              </w:rPr>
              <w:t>指标</w:t>
            </w:r>
          </w:p>
        </w:tc>
        <w:tc>
          <w:tcPr>
            <w:tcW w:w="633"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二级指标</w:t>
            </w:r>
          </w:p>
        </w:tc>
        <w:tc>
          <w:tcPr>
            <w:tcW w:w="1380"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指标名称</w:t>
            </w:r>
          </w:p>
        </w:tc>
        <w:tc>
          <w:tcPr>
            <w:tcW w:w="6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年初目标值（A）</w:t>
            </w:r>
          </w:p>
        </w:tc>
        <w:tc>
          <w:tcPr>
            <w:tcW w:w="832"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实际完成值（B）</w:t>
            </w:r>
          </w:p>
        </w:tc>
        <w:tc>
          <w:tcPr>
            <w:tcW w:w="690" w:type="pct"/>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得分</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8" w:type="pct"/>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tabs>
                <w:tab w:val="left" w:pos="467"/>
              </w:tabs>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产出</w:t>
            </w:r>
          </w:p>
          <w:p>
            <w:pPr>
              <w:widowControl/>
              <w:tabs>
                <w:tab w:val="left" w:pos="467"/>
              </w:tabs>
              <w:spacing w:line="240" w:lineRule="auto"/>
              <w:ind w:firstLine="0" w:firstLineChars="0"/>
              <w:jc w:val="center"/>
              <w:rPr>
                <w:rFonts w:hint="eastAsia" w:ascii="仿宋" w:hAnsi="仿宋"/>
                <w:kern w:val="0"/>
                <w:sz w:val="20"/>
                <w:szCs w:val="20"/>
                <w:lang w:val="en-US" w:eastAsia="zh-CN"/>
              </w:rPr>
            </w:pPr>
            <w:r>
              <w:rPr>
                <w:rFonts w:hint="eastAsia" w:ascii="仿宋" w:hAnsi="仿宋"/>
                <w:kern w:val="0"/>
                <w:sz w:val="20"/>
                <w:szCs w:val="20"/>
                <w:lang w:val="en-US" w:eastAsia="zh-CN"/>
              </w:rPr>
              <w:t>指标</w:t>
            </w:r>
          </w:p>
          <w:p>
            <w:pPr>
              <w:widowControl/>
              <w:tabs>
                <w:tab w:val="left" w:pos="467"/>
              </w:tabs>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rPr>
              <w:t>（</w:t>
            </w:r>
            <w:r>
              <w:rPr>
                <w:rFonts w:hint="eastAsia" w:ascii="仿宋" w:hAnsi="仿宋"/>
                <w:kern w:val="0"/>
                <w:sz w:val="20"/>
                <w:szCs w:val="20"/>
                <w:lang w:val="en-US" w:eastAsia="zh-CN"/>
              </w:rPr>
              <w:t>35</w:t>
            </w:r>
            <w:r>
              <w:rPr>
                <w:rFonts w:hint="eastAsia" w:ascii="仿宋" w:hAnsi="仿宋"/>
                <w:kern w:val="0"/>
                <w:sz w:val="20"/>
                <w:szCs w:val="20"/>
              </w:rPr>
              <w:t>分）</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5</w:t>
            </w:r>
            <w:r>
              <w:rPr>
                <w:rFonts w:hint="eastAsia" w:ascii="仿宋" w:hAnsi="仿宋"/>
                <w:kern w:val="0"/>
                <w:sz w:val="20"/>
                <w:szCs w:val="20"/>
              </w:rPr>
              <w:t>分）</w:t>
            </w: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kern w:val="0"/>
                <w:sz w:val="20"/>
                <w:szCs w:val="20"/>
                <w:lang w:eastAsia="zh-CN"/>
              </w:rPr>
            </w:pPr>
            <w:r>
              <w:rPr>
                <w:color w:val="000000"/>
                <w:spacing w:val="0"/>
                <w:w w:val="100"/>
                <w:position w:val="0"/>
                <w:sz w:val="20"/>
                <w:szCs w:val="20"/>
              </w:rPr>
              <w:t>完成联合图审</w:t>
            </w:r>
            <w:r>
              <w:rPr>
                <w:rFonts w:hint="eastAsia"/>
                <w:color w:val="000000"/>
                <w:spacing w:val="0"/>
                <w:w w:val="100"/>
                <w:position w:val="0"/>
                <w:sz w:val="20"/>
                <w:szCs w:val="20"/>
                <w:lang w:val="en-US" w:eastAsia="zh-CN"/>
              </w:rPr>
              <w:t>率</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100%</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100%</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5</w:t>
            </w:r>
            <w:r>
              <w:rPr>
                <w:rFonts w:hint="eastAsia" w:ascii="仿宋" w:hAnsi="仿宋"/>
                <w:kern w:val="0"/>
                <w:sz w:val="20"/>
                <w:szCs w:val="20"/>
              </w:rPr>
              <w:t>分）</w:t>
            </w: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color w:val="000000"/>
                <w:spacing w:val="0"/>
                <w:w w:val="100"/>
                <w:position w:val="0"/>
                <w:sz w:val="20"/>
                <w:szCs w:val="20"/>
              </w:rPr>
              <w:t>审查合格项目抽查率</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30</w:t>
            </w:r>
            <w:r>
              <w:rPr>
                <w:rFonts w:hint="eastAsia" w:ascii="仿宋" w:hAnsi="仿宋"/>
                <w:kern w:val="0"/>
                <w:sz w:val="20"/>
                <w:szCs w:val="20"/>
              </w:rPr>
              <w:t>%</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29.8%</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数量指标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5</w:t>
            </w:r>
            <w:r>
              <w:rPr>
                <w:rFonts w:hint="eastAsia" w:ascii="仿宋" w:hAnsi="仿宋"/>
                <w:kern w:val="0"/>
                <w:sz w:val="20"/>
                <w:szCs w:val="20"/>
              </w:rPr>
              <w:t>分）</w:t>
            </w: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已受理项目审查率</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95</w:t>
            </w:r>
            <w:r>
              <w:rPr>
                <w:rFonts w:hint="eastAsia" w:ascii="仿宋" w:hAnsi="仿宋"/>
                <w:kern w:val="0"/>
                <w:sz w:val="20"/>
                <w:szCs w:val="20"/>
              </w:rPr>
              <w:t>%</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100%</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质量指标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5</w:t>
            </w:r>
            <w:r>
              <w:rPr>
                <w:rFonts w:hint="eastAsia" w:ascii="仿宋" w:hAnsi="仿宋"/>
                <w:kern w:val="0"/>
                <w:sz w:val="20"/>
                <w:szCs w:val="20"/>
              </w:rPr>
              <w:t>分）</w:t>
            </w: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color w:val="000000"/>
                <w:spacing w:val="0"/>
                <w:w w:val="100"/>
                <w:position w:val="0"/>
                <w:sz w:val="20"/>
                <w:szCs w:val="20"/>
              </w:rPr>
              <w:t>审查后项目合格率</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100%</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100%</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质量指标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5</w:t>
            </w:r>
            <w:r>
              <w:rPr>
                <w:rFonts w:hint="eastAsia" w:ascii="仿宋" w:hAnsi="仿宋"/>
                <w:kern w:val="0"/>
                <w:sz w:val="20"/>
                <w:szCs w:val="20"/>
              </w:rPr>
              <w:t>分）</w:t>
            </w: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eastAsia="仿宋"/>
                <w:color w:val="000000"/>
                <w:spacing w:val="0"/>
                <w:w w:val="100"/>
                <w:position w:val="0"/>
                <w:sz w:val="20"/>
                <w:szCs w:val="20"/>
                <w:lang w:val="en-US" w:eastAsia="zh-CN"/>
              </w:rPr>
            </w:pPr>
            <w:r>
              <w:rPr>
                <w:rFonts w:hint="eastAsia"/>
                <w:color w:val="000000"/>
                <w:spacing w:val="0"/>
                <w:w w:val="100"/>
                <w:position w:val="0"/>
                <w:sz w:val="20"/>
                <w:szCs w:val="20"/>
                <w:lang w:val="en-US" w:eastAsia="zh-CN"/>
              </w:rPr>
              <w:t>整改项目闭合率</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kern w:val="0"/>
                <w:sz w:val="20"/>
                <w:szCs w:val="20"/>
                <w:lang w:val="en-US" w:eastAsia="zh-CN"/>
              </w:rPr>
            </w:pPr>
            <w:r>
              <w:rPr>
                <w:rFonts w:hint="eastAsia" w:ascii="仿宋" w:hAnsi="仿宋"/>
                <w:kern w:val="0"/>
                <w:sz w:val="20"/>
                <w:szCs w:val="20"/>
                <w:lang w:val="en-US" w:eastAsia="zh-CN"/>
              </w:rPr>
              <w:t>100%</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100%</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kern w:val="0"/>
                <w:sz w:val="20"/>
                <w:szCs w:val="20"/>
                <w:lang w:val="en-US" w:eastAsia="zh-CN"/>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lang w:val="en-US" w:eastAsia="zh-CN"/>
              </w:rPr>
            </w:pPr>
            <w:r>
              <w:rPr>
                <w:rFonts w:hint="eastAsia" w:ascii="仿宋" w:hAnsi="仿宋"/>
                <w:kern w:val="0"/>
                <w:sz w:val="20"/>
                <w:szCs w:val="20"/>
              </w:rPr>
              <w:t>质量指标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5</w:t>
            </w:r>
            <w:r>
              <w:rPr>
                <w:rFonts w:hint="eastAsia" w:ascii="仿宋" w:hAnsi="仿宋"/>
                <w:kern w:val="0"/>
                <w:sz w:val="20"/>
                <w:szCs w:val="20"/>
              </w:rPr>
              <w:t>分）</w:t>
            </w: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cs="宋体"/>
                <w:color w:val="000000"/>
                <w:kern w:val="0"/>
                <w:sz w:val="20"/>
                <w:szCs w:val="20"/>
                <w:lang w:val="en-US" w:eastAsia="zh-CN" w:bidi="ar-SA"/>
              </w:rPr>
            </w:pPr>
            <w:r>
              <w:rPr>
                <w:rFonts w:hint="eastAsia"/>
                <w:color w:val="000000"/>
                <w:spacing w:val="0"/>
                <w:w w:val="100"/>
                <w:position w:val="0"/>
                <w:sz w:val="20"/>
                <w:szCs w:val="20"/>
                <w:lang w:val="en-US" w:eastAsia="zh-CN"/>
              </w:rPr>
              <w:t>抽查合格率</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cs="宋体"/>
                <w:color w:val="000000"/>
                <w:kern w:val="0"/>
                <w:sz w:val="20"/>
                <w:szCs w:val="20"/>
                <w:lang w:val="en-US" w:eastAsia="zh-CN" w:bidi="ar-SA"/>
              </w:rPr>
            </w:pPr>
            <w:r>
              <w:rPr>
                <w:rFonts w:hint="eastAsia" w:ascii="仿宋" w:hAnsi="仿宋"/>
                <w:kern w:val="0"/>
                <w:sz w:val="20"/>
                <w:szCs w:val="20"/>
              </w:rPr>
              <w:t>100%</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cs="宋体"/>
                <w:color w:val="000000"/>
                <w:kern w:val="0"/>
                <w:sz w:val="20"/>
                <w:szCs w:val="20"/>
                <w:lang w:val="en-US" w:eastAsia="zh-CN" w:bidi="ar-SA"/>
              </w:rPr>
            </w:pPr>
            <w:r>
              <w:rPr>
                <w:rFonts w:hint="eastAsia" w:ascii="仿宋" w:hAnsi="仿宋"/>
                <w:kern w:val="0"/>
                <w:sz w:val="20"/>
                <w:szCs w:val="20"/>
              </w:rPr>
              <w:t>100%</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cs="宋体"/>
                <w:color w:val="000000"/>
                <w:kern w:val="0"/>
                <w:sz w:val="20"/>
                <w:szCs w:val="20"/>
                <w:lang w:val="en-US" w:eastAsia="zh-CN" w:bidi="ar-SA"/>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8" w:type="pct"/>
            <w:vMerge w:val="continue"/>
            <w:tcBorders>
              <w:top w:val="single" w:color="auto" w:sz="4" w:space="0"/>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ascii="仿宋" w:hAnsi="仿宋"/>
                <w:kern w:val="0"/>
                <w:sz w:val="20"/>
                <w:szCs w:val="20"/>
              </w:rPr>
            </w:pP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cs="宋体"/>
                <w:color w:val="000000"/>
                <w:kern w:val="0"/>
                <w:sz w:val="20"/>
                <w:szCs w:val="20"/>
                <w:lang w:val="en-US" w:eastAsia="zh-CN" w:bidi="ar-SA"/>
              </w:rPr>
            </w:pPr>
            <w:r>
              <w:rPr>
                <w:rFonts w:hint="eastAsia" w:ascii="仿宋" w:hAnsi="仿宋"/>
                <w:kern w:val="0"/>
                <w:sz w:val="20"/>
                <w:szCs w:val="20"/>
              </w:rPr>
              <w:t>时效指标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5</w:t>
            </w:r>
            <w:r>
              <w:rPr>
                <w:rFonts w:hint="eastAsia" w:ascii="仿宋" w:hAnsi="仿宋"/>
                <w:kern w:val="0"/>
                <w:sz w:val="20"/>
                <w:szCs w:val="20"/>
              </w:rPr>
              <w:t>分）</w:t>
            </w: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eastAsia="仿宋" w:cs="宋体"/>
                <w:color w:val="000000"/>
                <w:kern w:val="0"/>
                <w:sz w:val="20"/>
                <w:szCs w:val="20"/>
                <w:lang w:val="en-US" w:eastAsia="zh-CN" w:bidi="ar-SA"/>
              </w:rPr>
            </w:pPr>
            <w:r>
              <w:rPr>
                <w:color w:val="000000"/>
                <w:spacing w:val="0"/>
                <w:w w:val="100"/>
                <w:position w:val="0"/>
                <w:sz w:val="20"/>
                <w:szCs w:val="20"/>
              </w:rPr>
              <w:t>项目审查完成及时率</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cs="宋体"/>
                <w:color w:val="000000"/>
                <w:kern w:val="0"/>
                <w:sz w:val="20"/>
                <w:szCs w:val="20"/>
                <w:lang w:val="en-US" w:eastAsia="zh-CN" w:bidi="ar-SA"/>
              </w:rPr>
            </w:pPr>
            <w:r>
              <w:rPr>
                <w:rFonts w:hint="eastAsia" w:ascii="仿宋" w:hAnsi="仿宋"/>
                <w:kern w:val="0"/>
                <w:sz w:val="20"/>
                <w:szCs w:val="20"/>
              </w:rPr>
              <w:t>100%</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cs="宋体"/>
                <w:color w:val="000000"/>
                <w:kern w:val="0"/>
                <w:sz w:val="20"/>
                <w:szCs w:val="20"/>
                <w:lang w:val="en-US" w:eastAsia="zh-CN" w:bidi="ar-SA"/>
              </w:rPr>
            </w:pPr>
            <w:r>
              <w:rPr>
                <w:rFonts w:hint="eastAsia" w:ascii="仿宋" w:hAnsi="仿宋"/>
                <w:kern w:val="0"/>
                <w:sz w:val="20"/>
                <w:szCs w:val="20"/>
              </w:rPr>
              <w:t>100%</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cs="宋体"/>
                <w:color w:val="000000"/>
                <w:kern w:val="0"/>
                <w:sz w:val="20"/>
                <w:szCs w:val="20"/>
                <w:lang w:val="en-US" w:eastAsia="zh-CN" w:bidi="ar-SA"/>
              </w:rPr>
            </w:pPr>
            <w:r>
              <w:rPr>
                <w:rFonts w:hint="eastAsia" w:ascii="仿宋" w:hAnsi="仿宋"/>
                <w:kern w:val="0"/>
                <w:sz w:val="20"/>
                <w:szCs w:val="20"/>
                <w:lang w:val="en-US" w:eastAsia="zh-CN"/>
              </w:rPr>
              <w:t>5</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8" w:type="pct"/>
            <w:vMerge w:val="restart"/>
            <w:tcBorders>
              <w:top w:val="single" w:color="auto" w:sz="4" w:space="0"/>
              <w:left w:val="single" w:color="auto" w:sz="4" w:space="0"/>
              <w:right w:val="single" w:color="auto" w:sz="4" w:space="0"/>
            </w:tcBorders>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效益</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指标</w:t>
            </w:r>
            <w:r>
              <w:rPr>
                <w:rFonts w:hint="eastAsia" w:ascii="仿宋" w:hAnsi="仿宋"/>
                <w:kern w:val="0"/>
                <w:sz w:val="20"/>
                <w:szCs w:val="20"/>
              </w:rPr>
              <w:br w:type="textWrapping"/>
            </w:r>
            <w:r>
              <w:rPr>
                <w:rFonts w:hint="eastAsia" w:ascii="仿宋" w:hAnsi="仿宋"/>
                <w:kern w:val="0"/>
                <w:sz w:val="20"/>
                <w:szCs w:val="20"/>
              </w:rPr>
              <w:t>（</w:t>
            </w:r>
            <w:r>
              <w:rPr>
                <w:rFonts w:hint="eastAsia" w:ascii="仿宋" w:hAnsi="仿宋"/>
                <w:kern w:val="0"/>
                <w:sz w:val="20"/>
                <w:szCs w:val="20"/>
                <w:lang w:val="en-US" w:eastAsia="zh-CN"/>
              </w:rPr>
              <w:t>3</w:t>
            </w:r>
            <w:r>
              <w:rPr>
                <w:rFonts w:hint="eastAsia" w:ascii="仿宋" w:hAnsi="仿宋"/>
                <w:kern w:val="0"/>
                <w:sz w:val="20"/>
                <w:szCs w:val="20"/>
              </w:rPr>
              <w:t>0分）</w:t>
            </w:r>
          </w:p>
        </w:tc>
        <w:tc>
          <w:tcPr>
            <w:tcW w:w="633" w:type="pct"/>
            <w:vMerge w:val="restart"/>
            <w:tcBorders>
              <w:top w:val="single" w:color="auto" w:sz="4" w:space="0"/>
              <w:left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kern w:val="0"/>
                <w:sz w:val="20"/>
                <w:szCs w:val="20"/>
                <w:lang w:val="en-US" w:eastAsia="zh-CN"/>
              </w:rPr>
            </w:pPr>
            <w:r>
              <w:rPr>
                <w:rFonts w:hint="eastAsia" w:ascii="仿宋" w:hAnsi="仿宋"/>
                <w:kern w:val="0"/>
                <w:sz w:val="20"/>
                <w:szCs w:val="20"/>
                <w:lang w:val="en-US" w:eastAsia="zh-CN"/>
              </w:rPr>
              <w:t>社会效益</w:t>
            </w:r>
            <w:r>
              <w:rPr>
                <w:rFonts w:hint="eastAsia" w:ascii="仿宋" w:hAnsi="仿宋"/>
                <w:kern w:val="0"/>
                <w:sz w:val="20"/>
                <w:szCs w:val="20"/>
              </w:rPr>
              <w:t>（</w:t>
            </w:r>
            <w:r>
              <w:rPr>
                <w:rFonts w:hint="eastAsia" w:ascii="仿宋" w:hAnsi="仿宋"/>
                <w:kern w:val="0"/>
                <w:sz w:val="20"/>
                <w:szCs w:val="20"/>
                <w:lang w:val="en-US" w:eastAsia="zh-CN"/>
              </w:rPr>
              <w:t>3</w:t>
            </w:r>
            <w:r>
              <w:rPr>
                <w:rFonts w:hint="eastAsia" w:ascii="仿宋" w:hAnsi="仿宋"/>
                <w:kern w:val="0"/>
                <w:sz w:val="20"/>
                <w:szCs w:val="20"/>
              </w:rPr>
              <w:t>0分）</w:t>
            </w: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投诉处理率</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100%</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100%</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10</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8" w:type="pct"/>
            <w:vMerge w:val="continue"/>
            <w:tcBorders>
              <w:left w:val="single" w:color="auto" w:sz="4" w:space="0"/>
              <w:right w:val="single" w:color="auto" w:sz="4" w:space="0"/>
            </w:tcBorders>
            <w:vAlign w:val="center"/>
          </w:tcPr>
          <w:p>
            <w:pPr>
              <w:widowControl/>
              <w:spacing w:line="240" w:lineRule="auto"/>
              <w:ind w:firstLine="0" w:firstLineChars="0"/>
              <w:jc w:val="center"/>
              <w:rPr>
                <w:rFonts w:hint="eastAsia" w:ascii="仿宋" w:hAnsi="仿宋"/>
                <w:kern w:val="0"/>
                <w:sz w:val="20"/>
                <w:szCs w:val="20"/>
              </w:rPr>
            </w:pPr>
          </w:p>
        </w:tc>
        <w:tc>
          <w:tcPr>
            <w:tcW w:w="633" w:type="pct"/>
            <w:vMerge w:val="continue"/>
            <w:tcBorders>
              <w:left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cs="宋体"/>
                <w:color w:val="000000"/>
                <w:kern w:val="0"/>
                <w:sz w:val="20"/>
                <w:szCs w:val="20"/>
                <w:lang w:val="en-US" w:eastAsia="zh-CN" w:bidi="ar-SA"/>
              </w:rPr>
            </w:pPr>
            <w:r>
              <w:rPr>
                <w:rFonts w:hint="default" w:ascii="仿宋" w:hAnsi="仿宋" w:eastAsia="仿宋" w:cs="宋体"/>
                <w:color w:val="000000"/>
                <w:kern w:val="0"/>
                <w:sz w:val="20"/>
                <w:szCs w:val="20"/>
                <w:lang w:val="en-US" w:eastAsia="zh-CN" w:bidi="ar-SA"/>
              </w:rPr>
              <w:t>图审工时缩减率</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cs="宋体"/>
                <w:color w:val="000000"/>
                <w:kern w:val="0"/>
                <w:sz w:val="20"/>
                <w:szCs w:val="20"/>
                <w:lang w:val="en-US" w:eastAsia="zh-CN" w:bidi="ar-SA"/>
              </w:rPr>
            </w:pPr>
            <w:r>
              <w:rPr>
                <w:rFonts w:hint="eastAsia" w:ascii="仿宋" w:hAnsi="仿宋"/>
                <w:kern w:val="0"/>
                <w:sz w:val="20"/>
                <w:szCs w:val="20"/>
                <w:lang w:val="en-US" w:eastAsia="zh-CN"/>
              </w:rPr>
              <w:t>50</w:t>
            </w:r>
            <w:r>
              <w:rPr>
                <w:rFonts w:hint="eastAsia" w:ascii="仿宋" w:hAnsi="仿宋"/>
                <w:kern w:val="0"/>
                <w:sz w:val="20"/>
                <w:szCs w:val="20"/>
              </w:rPr>
              <w:t>%</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cs="宋体"/>
                <w:color w:val="000000"/>
                <w:kern w:val="0"/>
                <w:sz w:val="20"/>
                <w:szCs w:val="20"/>
                <w:lang w:val="en-US" w:eastAsia="zh-CN" w:bidi="ar-SA"/>
              </w:rPr>
            </w:pPr>
            <w:r>
              <w:rPr>
                <w:rFonts w:hint="eastAsia" w:ascii="仿宋" w:hAnsi="仿宋"/>
                <w:kern w:val="0"/>
                <w:sz w:val="20"/>
                <w:szCs w:val="20"/>
              </w:rPr>
              <w:t>100%</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eastAsia="仿宋" w:cs="宋体"/>
                <w:color w:val="000000"/>
                <w:kern w:val="0"/>
                <w:sz w:val="20"/>
                <w:szCs w:val="20"/>
                <w:lang w:val="en-US" w:eastAsia="zh-CN" w:bidi="ar-SA"/>
              </w:rPr>
            </w:pPr>
            <w:r>
              <w:rPr>
                <w:rFonts w:hint="eastAsia" w:ascii="仿宋" w:hAnsi="仿宋"/>
                <w:kern w:val="0"/>
                <w:sz w:val="20"/>
                <w:szCs w:val="20"/>
                <w:lang w:val="en-US" w:eastAsia="zh-CN"/>
              </w:rPr>
              <w:t>10</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8" w:type="pct"/>
            <w:vMerge w:val="continue"/>
            <w:tcBorders>
              <w:left w:val="single" w:color="auto" w:sz="4" w:space="0"/>
              <w:bottom w:val="single" w:color="auto" w:sz="4" w:space="0"/>
              <w:right w:val="single" w:color="auto" w:sz="4" w:space="0"/>
            </w:tcBorders>
            <w:vAlign w:val="center"/>
          </w:tcPr>
          <w:p>
            <w:pPr>
              <w:widowControl/>
              <w:spacing w:line="240" w:lineRule="auto"/>
              <w:ind w:firstLine="0" w:firstLineChars="0"/>
              <w:jc w:val="center"/>
              <w:rPr>
                <w:rFonts w:hint="eastAsia" w:ascii="仿宋" w:hAnsi="仿宋"/>
                <w:kern w:val="0"/>
                <w:sz w:val="20"/>
                <w:szCs w:val="20"/>
              </w:rPr>
            </w:pPr>
          </w:p>
        </w:tc>
        <w:tc>
          <w:tcPr>
            <w:tcW w:w="633" w:type="pct"/>
            <w:vMerge w:val="continue"/>
            <w:tcBorders>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lang w:val="en-US" w:eastAsia="zh-CN"/>
              </w:rPr>
            </w:pPr>
          </w:p>
        </w:tc>
        <w:tc>
          <w:tcPr>
            <w:tcW w:w="138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color w:val="000000"/>
                <w:spacing w:val="0"/>
                <w:w w:val="100"/>
                <w:position w:val="0"/>
                <w:sz w:val="20"/>
                <w:szCs w:val="20"/>
                <w:lang w:val="en-US" w:eastAsia="zh-CN"/>
              </w:rPr>
            </w:pPr>
            <w:r>
              <w:rPr>
                <w:rFonts w:hint="eastAsia"/>
                <w:color w:val="000000"/>
                <w:spacing w:val="0"/>
                <w:w w:val="100"/>
                <w:position w:val="0"/>
                <w:sz w:val="20"/>
                <w:szCs w:val="20"/>
                <w:lang w:val="en-US" w:eastAsia="zh-CN"/>
              </w:rPr>
              <w:t>营商环境优化度</w:t>
            </w:r>
          </w:p>
        </w:tc>
        <w:tc>
          <w:tcPr>
            <w:tcW w:w="633"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显著提升</w:t>
            </w:r>
          </w:p>
        </w:tc>
        <w:tc>
          <w:tcPr>
            <w:tcW w:w="832"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lang w:val="en-US" w:eastAsia="zh-CN"/>
              </w:rPr>
              <w:t>显著提升</w:t>
            </w:r>
          </w:p>
        </w:tc>
        <w:tc>
          <w:tcPr>
            <w:tcW w:w="690" w:type="pct"/>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kern w:val="0"/>
                <w:sz w:val="20"/>
                <w:szCs w:val="20"/>
                <w:lang w:val="en-US" w:eastAsia="zh-CN"/>
              </w:rPr>
            </w:pPr>
            <w:r>
              <w:rPr>
                <w:rFonts w:hint="eastAsia" w:ascii="仿宋" w:hAnsi="仿宋"/>
                <w:kern w:val="0"/>
                <w:sz w:val="20"/>
                <w:szCs w:val="20"/>
                <w:lang w:val="en-US" w:eastAsia="zh-CN"/>
              </w:rPr>
              <w:t>10</w:t>
            </w:r>
          </w:p>
        </w:tc>
      </w:tr>
      <w:tr>
        <w:tblPrEx>
          <w:tblCellMar>
            <w:top w:w="0" w:type="dxa"/>
            <w:left w:w="108" w:type="dxa"/>
            <w:bottom w:w="0" w:type="dxa"/>
            <w:right w:w="108" w:type="dxa"/>
          </w:tblCellMar>
        </w:tblPrEx>
        <w:trPr>
          <w:trHeight w:val="679" w:hRule="atLeast"/>
        </w:trPr>
        <w:tc>
          <w:tcPr>
            <w:tcW w:w="291" w:type="pct"/>
            <w:vMerge w:val="continue"/>
            <w:tcBorders>
              <w:top w:val="nil"/>
              <w:left w:val="single" w:color="auto" w:sz="4" w:space="0"/>
              <w:bottom w:val="single" w:color="000000" w:sz="4" w:space="0"/>
              <w:right w:val="single" w:color="auto" w:sz="4" w:space="0"/>
            </w:tcBorders>
            <w:vAlign w:val="center"/>
          </w:tcPr>
          <w:p>
            <w:pPr>
              <w:widowControl/>
              <w:spacing w:line="240" w:lineRule="auto"/>
              <w:ind w:firstLine="0" w:firstLineChars="0"/>
              <w:jc w:val="left"/>
              <w:rPr>
                <w:rFonts w:ascii="仿宋" w:hAnsi="仿宋"/>
                <w:kern w:val="0"/>
                <w:sz w:val="20"/>
                <w:szCs w:val="20"/>
              </w:rPr>
            </w:pPr>
          </w:p>
        </w:tc>
        <w:tc>
          <w:tcPr>
            <w:tcW w:w="538" w:type="pct"/>
            <w:tcBorders>
              <w:top w:val="single" w:color="auto" w:sz="4" w:space="0"/>
              <w:left w:val="single" w:color="auto" w:sz="4" w:space="0"/>
              <w:bottom w:val="single" w:color="000000" w:sz="4" w:space="0"/>
              <w:right w:val="single" w:color="auto" w:sz="4" w:space="0"/>
            </w:tcBorders>
            <w:shd w:val="clear" w:color="auto" w:fill="auto"/>
            <w:vAlign w:val="center"/>
          </w:tcPr>
          <w:p>
            <w:pPr>
              <w:widowControl/>
              <w:spacing w:line="240" w:lineRule="auto"/>
              <w:ind w:firstLine="0" w:firstLineChars="0"/>
              <w:jc w:val="center"/>
              <w:rPr>
                <w:rFonts w:hint="eastAsia" w:ascii="仿宋" w:hAnsi="仿宋"/>
                <w:kern w:val="0"/>
                <w:sz w:val="20"/>
                <w:szCs w:val="20"/>
              </w:rPr>
            </w:pPr>
            <w:r>
              <w:rPr>
                <w:rFonts w:hint="eastAsia" w:ascii="仿宋" w:hAnsi="仿宋"/>
                <w:kern w:val="0"/>
                <w:sz w:val="20"/>
                <w:szCs w:val="20"/>
              </w:rPr>
              <w:t>满意度指标</w:t>
            </w:r>
          </w:p>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w:t>
            </w:r>
            <w:r>
              <w:rPr>
                <w:rFonts w:hint="eastAsia" w:ascii="仿宋" w:hAnsi="仿宋"/>
                <w:kern w:val="0"/>
                <w:sz w:val="20"/>
                <w:szCs w:val="20"/>
                <w:lang w:val="en-US" w:eastAsia="zh-CN"/>
              </w:rPr>
              <w:t>15</w:t>
            </w:r>
            <w:r>
              <w:rPr>
                <w:rFonts w:hint="eastAsia" w:ascii="仿宋" w:hAnsi="仿宋"/>
                <w:kern w:val="0"/>
                <w:sz w:val="20"/>
                <w:szCs w:val="20"/>
              </w:rPr>
              <w:t>分）</w:t>
            </w:r>
          </w:p>
        </w:tc>
        <w:tc>
          <w:tcPr>
            <w:tcW w:w="6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社会公众或服务对象满意度指标</w:t>
            </w:r>
            <w:r>
              <w:rPr>
                <w:rFonts w:hint="eastAsia" w:ascii="仿宋" w:hAnsi="仿宋"/>
                <w:kern w:val="0"/>
                <w:sz w:val="20"/>
                <w:szCs w:val="20"/>
              </w:rPr>
              <w:br w:type="textWrapping"/>
            </w:r>
            <w:r>
              <w:rPr>
                <w:rFonts w:hint="eastAsia" w:ascii="仿宋" w:hAnsi="仿宋"/>
                <w:kern w:val="0"/>
                <w:sz w:val="20"/>
                <w:szCs w:val="20"/>
              </w:rPr>
              <w:t>（1</w:t>
            </w:r>
            <w:r>
              <w:rPr>
                <w:rFonts w:hint="eastAsia" w:ascii="仿宋" w:hAnsi="仿宋"/>
                <w:kern w:val="0"/>
                <w:sz w:val="20"/>
                <w:szCs w:val="20"/>
                <w:lang w:val="en-US" w:eastAsia="zh-CN"/>
              </w:rPr>
              <w:t>5</w:t>
            </w:r>
            <w:r>
              <w:rPr>
                <w:rFonts w:hint="eastAsia" w:ascii="仿宋" w:hAnsi="仿宋"/>
                <w:kern w:val="0"/>
                <w:sz w:val="20"/>
                <w:szCs w:val="20"/>
              </w:rPr>
              <w:t>分）</w:t>
            </w:r>
          </w:p>
        </w:tc>
        <w:tc>
          <w:tcPr>
            <w:tcW w:w="1380"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color w:val="000000"/>
                <w:spacing w:val="0"/>
                <w:w w:val="100"/>
                <w:position w:val="0"/>
                <w:sz w:val="20"/>
                <w:szCs w:val="20"/>
              </w:rPr>
              <w:t>企业对相关</w:t>
            </w:r>
            <w:r>
              <w:rPr>
                <w:rFonts w:hint="eastAsia"/>
                <w:color w:val="000000"/>
                <w:spacing w:val="0"/>
                <w:w w:val="100"/>
                <w:position w:val="0"/>
                <w:sz w:val="20"/>
                <w:szCs w:val="20"/>
                <w:lang w:val="en-US" w:eastAsia="zh-CN"/>
              </w:rPr>
              <w:t>服务</w:t>
            </w:r>
            <w:r>
              <w:rPr>
                <w:color w:val="000000"/>
                <w:spacing w:val="0"/>
                <w:w w:val="100"/>
                <w:position w:val="0"/>
                <w:sz w:val="20"/>
                <w:szCs w:val="20"/>
              </w:rPr>
              <w:t>工作</w:t>
            </w:r>
            <w:r>
              <w:rPr>
                <w:rFonts w:hint="eastAsia"/>
                <w:color w:val="000000"/>
                <w:spacing w:val="0"/>
                <w:w w:val="100"/>
                <w:position w:val="0"/>
                <w:sz w:val="20"/>
                <w:szCs w:val="20"/>
                <w:lang w:val="en-US" w:eastAsia="zh-CN"/>
              </w:rPr>
              <w:t>的</w:t>
            </w:r>
            <w:r>
              <w:rPr>
                <w:color w:val="000000"/>
                <w:spacing w:val="0"/>
                <w:w w:val="100"/>
                <w:position w:val="0"/>
                <w:sz w:val="20"/>
                <w:szCs w:val="20"/>
              </w:rPr>
              <w:t>满意度</w:t>
            </w:r>
          </w:p>
        </w:tc>
        <w:tc>
          <w:tcPr>
            <w:tcW w:w="633"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90%</w:t>
            </w:r>
          </w:p>
        </w:tc>
        <w:tc>
          <w:tcPr>
            <w:tcW w:w="832" w:type="pct"/>
            <w:tcBorders>
              <w:top w:val="single" w:color="auto" w:sz="4" w:space="0"/>
              <w:left w:val="nil"/>
              <w:bottom w:val="single" w:color="auto" w:sz="4" w:space="0"/>
              <w:right w:val="single" w:color="000000"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95%</w:t>
            </w:r>
          </w:p>
        </w:tc>
        <w:tc>
          <w:tcPr>
            <w:tcW w:w="690" w:type="pct"/>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center"/>
              <w:rPr>
                <w:rFonts w:hint="default" w:ascii="仿宋" w:hAnsi="仿宋" w:eastAsia="仿宋"/>
                <w:kern w:val="0"/>
                <w:sz w:val="20"/>
                <w:szCs w:val="20"/>
                <w:lang w:val="en-US" w:eastAsia="zh-CN"/>
              </w:rPr>
            </w:pPr>
            <w:r>
              <w:rPr>
                <w:rFonts w:hint="eastAsia" w:ascii="仿宋" w:hAnsi="仿宋"/>
                <w:kern w:val="0"/>
                <w:sz w:val="20"/>
                <w:szCs w:val="20"/>
                <w:lang w:val="en-US" w:eastAsia="zh-CN"/>
              </w:rPr>
              <w:t>15</w:t>
            </w:r>
          </w:p>
        </w:tc>
      </w:tr>
      <w:tr>
        <w:tblPrEx>
          <w:tblCellMar>
            <w:top w:w="0" w:type="dxa"/>
            <w:left w:w="108" w:type="dxa"/>
            <w:bottom w:w="0" w:type="dxa"/>
            <w:right w:w="108" w:type="dxa"/>
          </w:tblCellMar>
        </w:tblPrEx>
        <w:trPr>
          <w:trHeight w:val="465" w:hRule="atLeast"/>
        </w:trPr>
        <w:tc>
          <w:tcPr>
            <w:tcW w:w="291" w:type="pct"/>
            <w:tcBorders>
              <w:top w:val="nil"/>
              <w:left w:val="single" w:color="auto" w:sz="4" w:space="0"/>
              <w:bottom w:val="single" w:color="auto" w:sz="4" w:space="0"/>
              <w:right w:val="nil"/>
            </w:tcBorders>
            <w:shd w:val="clear" w:color="auto" w:fill="auto"/>
            <w:vAlign w:val="center"/>
          </w:tcPr>
          <w:p>
            <w:pPr>
              <w:widowControl/>
              <w:spacing w:line="240" w:lineRule="auto"/>
              <w:ind w:firstLine="0" w:firstLineChars="0"/>
              <w:jc w:val="left"/>
              <w:rPr>
                <w:rFonts w:ascii="仿宋" w:hAnsi="仿宋"/>
                <w:kern w:val="0"/>
                <w:sz w:val="20"/>
                <w:szCs w:val="20"/>
              </w:rPr>
            </w:pPr>
            <w:r>
              <w:rPr>
                <w:rFonts w:hint="eastAsia" w:ascii="仿宋" w:hAnsi="仿宋"/>
                <w:kern w:val="0"/>
                <w:sz w:val="20"/>
                <w:szCs w:val="20"/>
              </w:rPr>
              <w:t>总分</w:t>
            </w:r>
          </w:p>
        </w:tc>
        <w:tc>
          <w:tcPr>
            <w:tcW w:w="4708" w:type="pct"/>
            <w:gridSpan w:val="6"/>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lang w:val="en-US" w:eastAsia="zh-CN"/>
              </w:rPr>
              <w:t>96.11</w:t>
            </w:r>
            <w:r>
              <w:rPr>
                <w:rFonts w:hint="eastAsia" w:ascii="仿宋" w:hAnsi="仿宋"/>
                <w:kern w:val="0"/>
                <w:sz w:val="20"/>
                <w:szCs w:val="20"/>
              </w:rPr>
              <w:t>分</w:t>
            </w:r>
          </w:p>
        </w:tc>
      </w:tr>
      <w:tr>
        <w:tblPrEx>
          <w:tblCellMar>
            <w:top w:w="0" w:type="dxa"/>
            <w:left w:w="108" w:type="dxa"/>
            <w:bottom w:w="0" w:type="dxa"/>
            <w:right w:w="108" w:type="dxa"/>
          </w:tblCellMar>
        </w:tblPrEx>
        <w:trPr>
          <w:trHeight w:val="1062" w:hRule="atLeast"/>
        </w:trPr>
        <w:tc>
          <w:tcPr>
            <w:tcW w:w="83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偏差大或目标未完成原因分析</w:t>
            </w:r>
          </w:p>
        </w:tc>
        <w:tc>
          <w:tcPr>
            <w:tcW w:w="4169" w:type="pct"/>
            <w:gridSpan w:val="5"/>
            <w:tcBorders>
              <w:top w:val="nil"/>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default" w:ascii="仿宋" w:hAnsi="仿宋" w:eastAsia="仿宋"/>
                <w:kern w:val="0"/>
                <w:sz w:val="20"/>
                <w:szCs w:val="20"/>
                <w:lang w:val="en-US" w:eastAsia="zh-CN"/>
              </w:rPr>
            </w:pPr>
            <w:r>
              <w:rPr>
                <w:rFonts w:hint="eastAsia" w:ascii="仿宋" w:hAnsi="仿宋"/>
                <w:kern w:val="0"/>
                <w:sz w:val="20"/>
                <w:szCs w:val="20"/>
                <w:lang w:val="en-US" w:eastAsia="zh-CN"/>
              </w:rPr>
              <w:t>资金执行率指标不高主要原因：2022年财政局较前年提前一个月关库，所有指标被收回，故本年度支出减少；2022年度应付未付施工图设计文件审查金额约770万，资金缺口较大。</w:t>
            </w:r>
          </w:p>
        </w:tc>
      </w:tr>
      <w:tr>
        <w:tblPrEx>
          <w:tblCellMar>
            <w:top w:w="0" w:type="dxa"/>
            <w:left w:w="108" w:type="dxa"/>
            <w:bottom w:w="0" w:type="dxa"/>
            <w:right w:w="108" w:type="dxa"/>
          </w:tblCellMar>
        </w:tblPrEx>
        <w:trPr>
          <w:trHeight w:val="1842" w:hRule="atLeast"/>
        </w:trPr>
        <w:tc>
          <w:tcPr>
            <w:tcW w:w="83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pPr>
              <w:widowControl/>
              <w:spacing w:line="240" w:lineRule="auto"/>
              <w:ind w:firstLine="0" w:firstLineChars="0"/>
              <w:jc w:val="center"/>
              <w:rPr>
                <w:rFonts w:ascii="仿宋" w:hAnsi="仿宋"/>
                <w:kern w:val="0"/>
                <w:sz w:val="20"/>
                <w:szCs w:val="20"/>
              </w:rPr>
            </w:pPr>
            <w:r>
              <w:rPr>
                <w:rFonts w:hint="eastAsia" w:ascii="仿宋" w:hAnsi="仿宋"/>
                <w:kern w:val="0"/>
                <w:sz w:val="20"/>
                <w:szCs w:val="20"/>
              </w:rPr>
              <w:t>改进措施及结果应用方案</w:t>
            </w:r>
          </w:p>
        </w:tc>
        <w:tc>
          <w:tcPr>
            <w:tcW w:w="4169" w:type="pct"/>
            <w:gridSpan w:val="5"/>
            <w:tcBorders>
              <w:top w:val="single" w:color="auto" w:sz="4" w:space="0"/>
              <w:left w:val="nil"/>
              <w:bottom w:val="single" w:color="auto" w:sz="4" w:space="0"/>
              <w:right w:val="single" w:color="auto" w:sz="4" w:space="0"/>
            </w:tcBorders>
            <w:shd w:val="clear" w:color="auto" w:fill="auto"/>
            <w:vAlign w:val="center"/>
          </w:tcPr>
          <w:p>
            <w:pPr>
              <w:widowControl/>
              <w:spacing w:line="240" w:lineRule="auto"/>
              <w:ind w:firstLine="0" w:firstLineChars="0"/>
              <w:jc w:val="left"/>
              <w:rPr>
                <w:rFonts w:hint="default" w:ascii="仿宋" w:hAnsi="仿宋" w:eastAsia="仿宋"/>
                <w:kern w:val="0"/>
                <w:sz w:val="20"/>
                <w:szCs w:val="20"/>
                <w:lang w:val="en-US" w:eastAsia="zh-CN"/>
              </w:rPr>
            </w:pPr>
            <w:r>
              <w:rPr>
                <w:rFonts w:hint="eastAsia" w:ascii="仿宋" w:hAnsi="仿宋"/>
                <w:kern w:val="0"/>
                <w:sz w:val="20"/>
                <w:szCs w:val="20"/>
              </w:rPr>
              <w:t>1.</w:t>
            </w:r>
            <w:r>
              <w:rPr>
                <w:rFonts w:hint="eastAsia" w:ascii="仿宋" w:hAnsi="仿宋"/>
                <w:kern w:val="0"/>
                <w:sz w:val="20"/>
                <w:szCs w:val="20"/>
                <w:lang w:val="en-US" w:eastAsia="zh-CN"/>
              </w:rPr>
              <w:t>及时制定资金支付计划与项目优先级动态表，在资金保障有限的情况下，按照重要性级别，优先保障重点项目的费用支付，确保项目正常开展。</w:t>
            </w:r>
          </w:p>
        </w:tc>
      </w:tr>
    </w:tbl>
    <w:p>
      <w:pPr>
        <w:pStyle w:val="2"/>
        <w:ind w:firstLine="640"/>
      </w:pPr>
    </w:p>
    <w:bookmarkEnd w:id="28"/>
    <w:bookmarkEnd w:id="29"/>
    <w:bookmarkEnd w:id="30"/>
    <w:bookmarkEnd w:id="31"/>
    <w:p>
      <w:pPr>
        <w:pStyle w:val="3"/>
        <w:pageBreakBefore/>
        <w:shd w:val="clear" w:color="auto" w:fill="FFFFFF" w:themeFill="background1"/>
        <w:ind w:firstLine="643"/>
        <w:rPr>
          <w:rFonts w:ascii="Times New Roman" w:hAnsi="Times New Roman" w:cs="Times New Roman"/>
        </w:rPr>
      </w:pPr>
      <w:bookmarkStart w:id="32" w:name="_Toc20605"/>
      <w:bookmarkStart w:id="33" w:name="_Toc6356"/>
      <w:bookmarkStart w:id="34" w:name="_Toc14313"/>
      <w:bookmarkStart w:id="35" w:name="_Toc19524"/>
      <w:bookmarkStart w:id="36" w:name="_Toc9411"/>
      <w:r>
        <w:rPr>
          <w:rFonts w:hint="eastAsia" w:ascii="Times New Roman" w:hAnsi="Times New Roman" w:cs="Times New Roman"/>
          <w:kern w:val="2"/>
          <w:szCs w:val="32"/>
        </w:rPr>
        <w:t>二、</w:t>
      </w:r>
      <w:r>
        <w:rPr>
          <w:rFonts w:ascii="Times New Roman" w:hAnsi="Times New Roman" w:cs="Times New Roman"/>
          <w:kern w:val="2"/>
          <w:szCs w:val="32"/>
        </w:rPr>
        <w:t>佐证材料</w:t>
      </w:r>
      <w:bookmarkEnd w:id="32"/>
      <w:bookmarkEnd w:id="33"/>
      <w:bookmarkEnd w:id="34"/>
      <w:bookmarkEnd w:id="35"/>
      <w:bookmarkEnd w:id="36"/>
    </w:p>
    <w:p>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37" w:name="_Toc5884"/>
      <w:bookmarkStart w:id="38" w:name="_Toc21519"/>
      <w:bookmarkStart w:id="39" w:name="_Toc15156"/>
      <w:bookmarkStart w:id="40" w:name="_Toc2015"/>
      <w:bookmarkStart w:id="41" w:name="_Toc25168"/>
      <w:r>
        <w:rPr>
          <w:rFonts w:hint="eastAsia" w:ascii="Times New Roman" w:hAnsi="Times New Roman" w:eastAsia="楷体" w:cs="Times New Roman"/>
        </w:rPr>
        <w:t>（一）</w:t>
      </w:r>
      <w:r>
        <w:rPr>
          <w:rFonts w:ascii="Times New Roman" w:hAnsi="Times New Roman" w:eastAsia="楷体" w:cs="Times New Roman"/>
        </w:rPr>
        <w:t>基本情况</w:t>
      </w:r>
      <w:bookmarkEnd w:id="37"/>
      <w:bookmarkEnd w:id="38"/>
      <w:bookmarkEnd w:id="39"/>
      <w:bookmarkEnd w:id="40"/>
      <w:bookmarkEnd w:id="41"/>
      <w:bookmarkStart w:id="42" w:name="_Toc7020634"/>
    </w:p>
    <w:p>
      <w:pPr>
        <w:pStyle w:val="5"/>
        <w:ind w:firstLine="643"/>
      </w:pPr>
      <w:bookmarkStart w:id="43" w:name="_Toc20435"/>
      <w:bookmarkStart w:id="44" w:name="_Toc18740"/>
      <w:r>
        <w:rPr>
          <w:rFonts w:hint="eastAsia"/>
        </w:rPr>
        <w:t>1.</w:t>
      </w:r>
      <w:r>
        <w:t>项目</w:t>
      </w:r>
      <w:r>
        <w:rPr>
          <w:rFonts w:hint="eastAsia"/>
        </w:rPr>
        <w:t>立项目的</w:t>
      </w:r>
      <w:bookmarkEnd w:id="43"/>
      <w:bookmarkEnd w:id="44"/>
    </w:p>
    <w:p>
      <w:pPr>
        <w:bidi w:val="0"/>
        <w:rPr>
          <w:rFonts w:hint="default"/>
          <w:lang w:val="en-US" w:eastAsia="zh-CN"/>
        </w:rPr>
      </w:pPr>
      <w:bookmarkStart w:id="45" w:name="_Toc13283"/>
      <w:bookmarkStart w:id="46" w:name="_Toc10717"/>
      <w:r>
        <w:rPr>
          <w:rFonts w:hint="eastAsia"/>
          <w:lang w:val="en-US" w:eastAsia="zh-CN"/>
        </w:rPr>
        <w:t>根据《关于全面开展工程建设项目审批制度改革的实施意见》（国办发[2019]11号）、《关于推进房屋建筑和市政基础设施工程施工图设计文件联合审查的实施意见》（鄂建[2019]2号）、《省人民政府办公厅关于印发湖北省工程建设项目审批制度改革实施的通知）（鄂政办发[2019]44号）等文件精神，武汉开发区管委会、汉南区人民政府出台了《武汉经济技术开发区（汉南区）房屋建筑和市政基础设施工程施工图设计文件联合审查管理实施细则（试行）》（武经开规[2019]3号），文件细则中对施工图审查服务费用、审查范围、审查时限、确定图审机构的方式、图审机构审查人员的继续教育培训等内容进行了规定。为保障区管房屋建筑和市政基础设施工程施工图设计文件联合审查工作的顺利开展，区住建局设立了建设施工图设计文件审查专项经费项目，落实施工图联合审查改革，优化营商环境，形成科学规范、便捷高效的工程建设项目审批和管理体系。</w:t>
      </w:r>
    </w:p>
    <w:p>
      <w:pPr>
        <w:pStyle w:val="5"/>
        <w:ind w:firstLine="643"/>
      </w:pPr>
      <w:r>
        <w:t>2.</w:t>
      </w:r>
      <w:r>
        <w:rPr>
          <w:rFonts w:hint="eastAsia"/>
        </w:rPr>
        <w:t>年度</w:t>
      </w:r>
      <w:r>
        <w:t>绩效目标</w:t>
      </w:r>
      <w:bookmarkEnd w:id="45"/>
      <w:bookmarkEnd w:id="46"/>
    </w:p>
    <w:p>
      <w:pPr>
        <w:shd w:val="clear" w:color="auto" w:fill="FFFFFF" w:themeFill="background1"/>
        <w:ind w:firstLine="640"/>
        <w:rPr>
          <w:rFonts w:hint="eastAsia" w:cs="Times New Roman"/>
          <w:color w:val="auto"/>
          <w:kern w:val="0"/>
          <w:szCs w:val="32"/>
          <w:lang w:val="en-US" w:eastAsia="zh-CN"/>
        </w:rPr>
      </w:pPr>
      <w:r>
        <w:rPr>
          <w:rFonts w:hint="eastAsia" w:cs="Times New Roman"/>
          <w:color w:val="auto"/>
          <w:kern w:val="0"/>
          <w:szCs w:val="32"/>
          <w:lang w:val="en-US" w:eastAsia="zh-CN"/>
        </w:rPr>
        <w:t>本项目2022年申报表中年度绩效指标设置不规范，不能全面反映项目的产出和效果，故将本项目绩效目标调整如下：完成联合图审率100%、审查合格项</w:t>
      </w:r>
      <w:r>
        <w:rPr>
          <w:rFonts w:hint="eastAsia" w:cs="Times New Roman"/>
          <w:color w:val="auto"/>
          <w:kern w:val="0"/>
          <w:szCs w:val="32"/>
          <w:highlight w:val="none"/>
          <w:lang w:val="en-US" w:eastAsia="zh-CN"/>
        </w:rPr>
        <w:t>目抽查率30%、</w:t>
      </w:r>
      <w:r>
        <w:rPr>
          <w:rFonts w:hint="eastAsia"/>
          <w:highlight w:val="none"/>
          <w:lang w:val="en-US" w:eastAsia="zh-CN"/>
        </w:rPr>
        <w:t>已受理项目审查率95%</w:t>
      </w:r>
      <w:r>
        <w:rPr>
          <w:rFonts w:hint="eastAsia" w:cs="Times New Roman"/>
          <w:color w:val="auto"/>
          <w:kern w:val="0"/>
          <w:szCs w:val="32"/>
          <w:highlight w:val="none"/>
          <w:lang w:val="en-US" w:eastAsia="zh-CN"/>
        </w:rPr>
        <w:t>、审查后项目合格率100%、整改项目闭</w:t>
      </w:r>
      <w:r>
        <w:rPr>
          <w:rFonts w:hint="eastAsia" w:cs="Times New Roman"/>
          <w:color w:val="auto"/>
          <w:kern w:val="0"/>
          <w:szCs w:val="32"/>
          <w:lang w:val="en-US" w:eastAsia="zh-CN"/>
        </w:rPr>
        <w:t>合率100%、抽查合格率100%、项目审查完成及时率100%、投诉处理率100%、图审工时缩减率50%、营商环境优化度显著提升、企业对相关服务工作的满意度90%。</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outlineLvl w:val="2"/>
        <w:rPr>
          <w:rFonts w:eastAsia="仿宋"/>
          <w:b/>
          <w:color w:val="000000" w:themeColor="text1"/>
          <w:sz w:val="32"/>
          <w:szCs w:val="32"/>
          <w14:textFill>
            <w14:solidFill>
              <w14:schemeClr w14:val="tx1"/>
            </w14:solidFill>
          </w14:textFill>
        </w:rPr>
      </w:pPr>
      <w:r>
        <w:rPr>
          <w:rFonts w:hint="eastAsia" w:eastAsia="仿宋"/>
          <w:b/>
          <w:color w:val="000000" w:themeColor="text1"/>
          <w:sz w:val="32"/>
          <w:szCs w:val="32"/>
          <w14:textFill>
            <w14:solidFill>
              <w14:schemeClr w14:val="tx1"/>
            </w14:solidFill>
          </w14:textFill>
        </w:rPr>
        <w:t>3.项目资金情况</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hint="eastAsia"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本项目预算总额</w:t>
      </w:r>
      <w:r>
        <w:rPr>
          <w:rFonts w:hint="eastAsia"/>
          <w:color w:val="000000" w:themeColor="text1"/>
          <w:sz w:val="32"/>
          <w:szCs w:val="32"/>
          <w:lang w:val="en-US" w:eastAsia="zh-CN"/>
          <w14:textFill>
            <w14:solidFill>
              <w14:schemeClr w14:val="tx1"/>
            </w14:solidFill>
          </w14:textFill>
        </w:rPr>
        <w:t>1,500.00</w:t>
      </w:r>
      <w:r>
        <w:rPr>
          <w:rFonts w:hint="eastAsia" w:eastAsia="仿宋"/>
          <w:color w:val="000000" w:themeColor="text1"/>
          <w:sz w:val="32"/>
          <w:szCs w:val="32"/>
          <w14:textFill>
            <w14:solidFill>
              <w14:schemeClr w14:val="tx1"/>
            </w14:solidFill>
          </w14:textFill>
        </w:rPr>
        <w:t>万元，执行数</w:t>
      </w:r>
      <w:r>
        <w:rPr>
          <w:rFonts w:hint="eastAsia"/>
          <w:color w:val="000000" w:themeColor="text1"/>
          <w:sz w:val="32"/>
          <w:szCs w:val="32"/>
          <w:lang w:val="en-US" w:eastAsia="zh-CN"/>
          <w14:textFill>
            <w14:solidFill>
              <w14:schemeClr w14:val="tx1"/>
            </w14:solidFill>
          </w14:textFill>
        </w:rPr>
        <w:t>1,208.29</w:t>
      </w:r>
      <w:r>
        <w:rPr>
          <w:rFonts w:hint="eastAsia" w:eastAsia="仿宋"/>
          <w:color w:val="000000" w:themeColor="text1"/>
          <w:sz w:val="32"/>
          <w:szCs w:val="32"/>
          <w14:textFill>
            <w14:solidFill>
              <w14:schemeClr w14:val="tx1"/>
            </w14:solidFill>
          </w14:textFill>
        </w:rPr>
        <w:t>万元，预算执行率</w:t>
      </w:r>
      <w:r>
        <w:rPr>
          <w:rFonts w:hint="eastAsia"/>
          <w:color w:val="000000" w:themeColor="text1"/>
          <w:sz w:val="32"/>
          <w:szCs w:val="32"/>
          <w:lang w:val="en-US" w:eastAsia="zh-CN"/>
          <w14:textFill>
            <w14:solidFill>
              <w14:schemeClr w14:val="tx1"/>
            </w14:solidFill>
          </w14:textFill>
        </w:rPr>
        <w:t>80.55</w:t>
      </w:r>
      <w:r>
        <w:rPr>
          <w:rFonts w:hint="eastAsia" w:eastAsia="仿宋"/>
          <w:color w:val="000000" w:themeColor="text1"/>
          <w:sz w:val="32"/>
          <w:szCs w:val="32"/>
          <w14:textFill>
            <w14:solidFill>
              <w14:schemeClr w14:val="tx1"/>
            </w14:solidFill>
          </w14:textFill>
        </w:rPr>
        <w:t>%。</w:t>
      </w:r>
    </w:p>
    <w:bookmarkEnd w:id="42"/>
    <w:p>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bookmarkStart w:id="47" w:name="_Toc19582"/>
      <w:bookmarkStart w:id="48" w:name="_Toc13091"/>
      <w:bookmarkStart w:id="49" w:name="_Toc32177"/>
      <w:bookmarkStart w:id="50" w:name="_Toc24782"/>
      <w:bookmarkStart w:id="51" w:name="_Toc8397035"/>
      <w:bookmarkStart w:id="52" w:name="_Toc30784"/>
      <w:r>
        <w:rPr>
          <w:rFonts w:hint="eastAsia" w:ascii="Times New Roman" w:hAnsi="Times New Roman" w:eastAsia="楷体" w:cs="Times New Roman"/>
        </w:rPr>
        <w:t>（二）部门自评</w:t>
      </w:r>
      <w:r>
        <w:rPr>
          <w:rFonts w:ascii="Times New Roman" w:hAnsi="Times New Roman" w:eastAsia="楷体" w:cs="Times New Roman"/>
        </w:rPr>
        <w:t>工作开展情况</w:t>
      </w:r>
      <w:bookmarkEnd w:id="47"/>
      <w:bookmarkEnd w:id="48"/>
      <w:bookmarkEnd w:id="49"/>
      <w:bookmarkEnd w:id="50"/>
      <w:bookmarkEnd w:id="51"/>
      <w:bookmarkEnd w:id="52"/>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bookmarkStart w:id="53" w:name="_Toc16187"/>
      <w:bookmarkStart w:id="54" w:name="_Toc28731"/>
      <w:bookmarkStart w:id="55" w:name="_Toc6163"/>
      <w:bookmarkStart w:id="56" w:name="_Toc31889"/>
      <w:bookmarkStart w:id="57" w:name="_Toc16572"/>
      <w:r>
        <w:rPr>
          <w:rFonts w:hint="eastAsia" w:eastAsia="仿宋"/>
          <w:color w:val="000000" w:themeColor="text1"/>
          <w:sz w:val="32"/>
          <w:szCs w:val="32"/>
          <w14:textFill>
            <w14:solidFill>
              <w14:schemeClr w14:val="tx1"/>
            </w14:solidFill>
          </w14:textFill>
        </w:rPr>
        <w:t>本次自评时间从202</w:t>
      </w:r>
      <w:r>
        <w:rPr>
          <w:rFonts w:hint="eastAsia" w:eastAsia="仿宋"/>
          <w:color w:val="000000" w:themeColor="text1"/>
          <w:sz w:val="32"/>
          <w:szCs w:val="32"/>
          <w:lang w:val="en-US" w:eastAsia="zh-CN"/>
          <w14:textFill>
            <w14:solidFill>
              <w14:schemeClr w14:val="tx1"/>
            </w14:solidFill>
          </w14:textFill>
        </w:rPr>
        <w:t>3</w:t>
      </w:r>
      <w:r>
        <w:rPr>
          <w:rFonts w:hint="eastAsia" w:eastAsia="仿宋"/>
          <w:color w:val="000000" w:themeColor="text1"/>
          <w:sz w:val="32"/>
          <w:szCs w:val="32"/>
          <w14:textFill>
            <w14:solidFill>
              <w14:schemeClr w14:val="tx1"/>
            </w14:solidFill>
          </w14:textFill>
        </w:rPr>
        <w:t>年</w:t>
      </w:r>
      <w:r>
        <w:rPr>
          <w:rFonts w:eastAsia="仿宋"/>
          <w:color w:val="000000" w:themeColor="text1"/>
          <w:sz w:val="32"/>
          <w:szCs w:val="32"/>
          <w14:textFill>
            <w14:solidFill>
              <w14:schemeClr w14:val="tx1"/>
            </w14:solidFill>
          </w14:textFill>
        </w:rPr>
        <w:t>4</w:t>
      </w:r>
      <w:r>
        <w:rPr>
          <w:rFonts w:hint="eastAsia" w:eastAsia="仿宋"/>
          <w:color w:val="000000" w:themeColor="text1"/>
          <w:sz w:val="32"/>
          <w:szCs w:val="32"/>
          <w14:textFill>
            <w14:solidFill>
              <w14:schemeClr w14:val="tx1"/>
            </w14:solidFill>
          </w14:textFill>
        </w:rPr>
        <w:t>月</w:t>
      </w:r>
      <w:r>
        <w:rPr>
          <w:rFonts w:hint="eastAsia" w:eastAsia="仿宋"/>
          <w:color w:val="000000" w:themeColor="text1"/>
          <w:sz w:val="32"/>
          <w:szCs w:val="32"/>
          <w:lang w:val="en-US" w:eastAsia="zh-CN"/>
          <w14:textFill>
            <w14:solidFill>
              <w14:schemeClr w14:val="tx1"/>
            </w14:solidFill>
          </w14:textFill>
        </w:rPr>
        <w:t>3</w:t>
      </w:r>
      <w:r>
        <w:rPr>
          <w:rFonts w:hint="eastAsia" w:eastAsia="仿宋"/>
          <w:color w:val="000000" w:themeColor="text1"/>
          <w:sz w:val="32"/>
          <w:szCs w:val="32"/>
          <w14:textFill>
            <w14:solidFill>
              <w14:schemeClr w14:val="tx1"/>
            </w14:solidFill>
          </w14:textFill>
        </w:rPr>
        <w:t>日至202</w:t>
      </w:r>
      <w:r>
        <w:rPr>
          <w:rFonts w:hint="eastAsia" w:eastAsia="仿宋"/>
          <w:color w:val="000000" w:themeColor="text1"/>
          <w:sz w:val="32"/>
          <w:szCs w:val="32"/>
          <w:lang w:val="en-US" w:eastAsia="zh-CN"/>
          <w14:textFill>
            <w14:solidFill>
              <w14:schemeClr w14:val="tx1"/>
            </w14:solidFill>
          </w14:textFill>
        </w:rPr>
        <w:t>3</w:t>
      </w:r>
      <w:r>
        <w:rPr>
          <w:rFonts w:hint="eastAsia" w:eastAsia="仿宋"/>
          <w:color w:val="000000" w:themeColor="text1"/>
          <w:sz w:val="32"/>
          <w:szCs w:val="32"/>
          <w14:textFill>
            <w14:solidFill>
              <w14:schemeClr w14:val="tx1"/>
            </w14:solidFill>
          </w14:textFill>
        </w:rPr>
        <w:t>年</w:t>
      </w:r>
      <w:r>
        <w:rPr>
          <w:rFonts w:hint="eastAsia" w:eastAsia="仿宋"/>
          <w:color w:val="000000" w:themeColor="text1"/>
          <w:sz w:val="32"/>
          <w:szCs w:val="32"/>
          <w:lang w:val="en-US" w:eastAsia="zh-CN"/>
          <w14:textFill>
            <w14:solidFill>
              <w14:schemeClr w14:val="tx1"/>
            </w14:solidFill>
          </w14:textFill>
        </w:rPr>
        <w:t>4</w:t>
      </w:r>
      <w:r>
        <w:rPr>
          <w:rFonts w:hint="eastAsia" w:eastAsia="仿宋"/>
          <w:color w:val="000000" w:themeColor="text1"/>
          <w:sz w:val="32"/>
          <w:szCs w:val="32"/>
          <w14:textFill>
            <w14:solidFill>
              <w14:schemeClr w14:val="tx1"/>
            </w14:solidFill>
          </w14:textFill>
        </w:rPr>
        <w:t>月</w:t>
      </w:r>
      <w:r>
        <w:rPr>
          <w:rFonts w:hint="eastAsia" w:eastAsia="仿宋"/>
          <w:color w:val="000000" w:themeColor="text1"/>
          <w:sz w:val="32"/>
          <w:szCs w:val="32"/>
          <w:lang w:val="en-US" w:eastAsia="zh-CN"/>
          <w14:textFill>
            <w14:solidFill>
              <w14:schemeClr w14:val="tx1"/>
            </w14:solidFill>
          </w14:textFill>
        </w:rPr>
        <w:t>21</w:t>
      </w:r>
      <w:r>
        <w:rPr>
          <w:rFonts w:hint="eastAsia" w:eastAsia="仿宋"/>
          <w:color w:val="000000" w:themeColor="text1"/>
          <w:sz w:val="32"/>
          <w:szCs w:val="32"/>
          <w14:textFill>
            <w14:solidFill>
              <w14:schemeClr w14:val="tx1"/>
            </w14:solidFill>
          </w14:textFill>
        </w:rPr>
        <w:t>日，历时</w:t>
      </w:r>
      <w:r>
        <w:rPr>
          <w:rFonts w:eastAsia="仿宋"/>
          <w:color w:val="000000" w:themeColor="text1"/>
          <w:sz w:val="32"/>
          <w:szCs w:val="32"/>
          <w14:textFill>
            <w14:solidFill>
              <w14:schemeClr w14:val="tx1"/>
            </w14:solidFill>
          </w14:textFill>
        </w:rPr>
        <w:t>1</w:t>
      </w:r>
      <w:r>
        <w:rPr>
          <w:rFonts w:hint="eastAsia" w:eastAsia="仿宋"/>
          <w:color w:val="000000" w:themeColor="text1"/>
          <w:sz w:val="32"/>
          <w:szCs w:val="32"/>
          <w:lang w:val="en-US" w:eastAsia="zh-CN"/>
          <w14:textFill>
            <w14:solidFill>
              <w14:schemeClr w14:val="tx1"/>
            </w14:solidFill>
          </w14:textFill>
        </w:rPr>
        <w:t>5</w:t>
      </w:r>
      <w:r>
        <w:rPr>
          <w:rFonts w:hint="eastAsia" w:eastAsia="仿宋"/>
          <w:color w:val="000000" w:themeColor="text1"/>
          <w:sz w:val="32"/>
          <w:szCs w:val="32"/>
          <w14:textFill>
            <w14:solidFill>
              <w14:schemeClr w14:val="tx1"/>
            </w14:solidFill>
          </w14:textFill>
        </w:rPr>
        <w:t>天。自评工作程序如下：</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b/>
          <w:bCs/>
          <w:color w:val="000000" w:themeColor="text1"/>
          <w:sz w:val="32"/>
          <w:szCs w:val="32"/>
          <w14:textFill>
            <w14:solidFill>
              <w14:schemeClr w14:val="tx1"/>
            </w14:solidFill>
          </w14:textFill>
        </w:rPr>
      </w:pPr>
      <w:r>
        <w:rPr>
          <w:rFonts w:eastAsia="仿宋"/>
          <w:b/>
          <w:bCs/>
          <w:color w:val="000000" w:themeColor="text1"/>
          <w:sz w:val="32"/>
          <w:szCs w:val="32"/>
          <w14:textFill>
            <w14:solidFill>
              <w14:schemeClr w14:val="tx1"/>
            </w14:solidFill>
          </w14:textFill>
        </w:rPr>
        <w:t>1.</w:t>
      </w:r>
      <w:r>
        <w:rPr>
          <w:rFonts w:hint="eastAsia" w:eastAsia="仿宋"/>
          <w:b/>
          <w:bCs/>
          <w:color w:val="000000" w:themeColor="text1"/>
          <w:sz w:val="32"/>
          <w:szCs w:val="32"/>
          <w14:textFill>
            <w14:solidFill>
              <w14:schemeClr w14:val="tx1"/>
            </w14:solidFill>
          </w14:textFill>
        </w:rPr>
        <w:t>制定工作方案</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部门自评工作方案由财务部门会同第三方机构共同研究制订。根据部门主要负责同志要求和武汉经济技术开发区（汉南区）财政局发布的</w:t>
      </w:r>
      <w:r>
        <w:rPr>
          <w:rFonts w:hint="eastAsia" w:eastAsia="仿宋"/>
          <w:sz w:val="32"/>
          <w:szCs w:val="32"/>
        </w:rPr>
        <w:t>《关于开展202</w:t>
      </w:r>
      <w:r>
        <w:rPr>
          <w:rFonts w:hint="eastAsia" w:eastAsia="仿宋"/>
          <w:sz w:val="32"/>
          <w:szCs w:val="32"/>
          <w:lang w:val="en-US" w:eastAsia="zh-CN"/>
        </w:rPr>
        <w:t>3</w:t>
      </w:r>
      <w:r>
        <w:rPr>
          <w:rFonts w:hint="eastAsia" w:eastAsia="仿宋"/>
          <w:sz w:val="32"/>
          <w:szCs w:val="32"/>
        </w:rPr>
        <w:t>年预算绩效评价及项目支出绩效运行监控的通知》（武经开〔202</w:t>
      </w:r>
      <w:r>
        <w:rPr>
          <w:rFonts w:hint="eastAsia" w:eastAsia="仿宋"/>
          <w:sz w:val="32"/>
          <w:szCs w:val="32"/>
          <w:lang w:val="en-US" w:eastAsia="zh-CN"/>
        </w:rPr>
        <w:t>3</w:t>
      </w:r>
      <w:r>
        <w:rPr>
          <w:rFonts w:hint="eastAsia" w:eastAsia="仿宋"/>
          <w:sz w:val="32"/>
          <w:szCs w:val="32"/>
        </w:rPr>
        <w:t>〕</w:t>
      </w:r>
      <w:r>
        <w:rPr>
          <w:rFonts w:hint="eastAsia" w:eastAsia="仿宋"/>
          <w:sz w:val="32"/>
          <w:szCs w:val="32"/>
          <w:lang w:val="en-US" w:eastAsia="zh-CN"/>
        </w:rPr>
        <w:t>19</w:t>
      </w:r>
      <w:r>
        <w:rPr>
          <w:rFonts w:hint="eastAsia" w:eastAsia="仿宋"/>
          <w:sz w:val="32"/>
          <w:szCs w:val="32"/>
        </w:rPr>
        <w:t>号）</w:t>
      </w:r>
      <w:r>
        <w:rPr>
          <w:rFonts w:hint="eastAsia" w:eastAsia="仿宋"/>
          <w:color w:val="000000" w:themeColor="text1"/>
          <w:sz w:val="32"/>
          <w:szCs w:val="32"/>
          <w14:textFill>
            <w14:solidFill>
              <w14:schemeClr w14:val="tx1"/>
            </w14:solidFill>
          </w14:textFill>
        </w:rPr>
        <w:t>启动部门自评工作。</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b/>
          <w:bCs/>
          <w:color w:val="000000" w:themeColor="text1"/>
          <w:sz w:val="32"/>
          <w:szCs w:val="32"/>
          <w14:textFill>
            <w14:solidFill>
              <w14:schemeClr w14:val="tx1"/>
            </w14:solidFill>
          </w14:textFill>
        </w:rPr>
      </w:pPr>
      <w:r>
        <w:rPr>
          <w:rFonts w:hint="eastAsia" w:eastAsia="仿宋"/>
          <w:b/>
          <w:bCs/>
          <w:color w:val="000000" w:themeColor="text1"/>
          <w:sz w:val="32"/>
          <w:szCs w:val="32"/>
          <w14:textFill>
            <w14:solidFill>
              <w14:schemeClr w14:val="tx1"/>
            </w14:solidFill>
          </w14:textFill>
        </w:rPr>
        <w:t>2.组织实施自评</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财务部门会同第三方机构及时成立工作组，通过调研访谈、电话访谈等方式收集、核实数据和信息，并对这些数据和信息进行整理分析。</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b/>
          <w:bCs/>
          <w:color w:val="000000" w:themeColor="text1"/>
          <w:sz w:val="32"/>
          <w:szCs w:val="32"/>
          <w14:textFill>
            <w14:solidFill>
              <w14:schemeClr w14:val="tx1"/>
            </w14:solidFill>
          </w14:textFill>
        </w:rPr>
      </w:pPr>
      <w:r>
        <w:rPr>
          <w:rFonts w:hint="eastAsia" w:eastAsia="仿宋"/>
          <w:b/>
          <w:bCs/>
          <w:color w:val="000000" w:themeColor="text1"/>
          <w:sz w:val="32"/>
          <w:szCs w:val="32"/>
          <w14:textFill>
            <w14:solidFill>
              <w14:schemeClr w14:val="tx1"/>
            </w14:solidFill>
          </w14:textFill>
        </w:rPr>
        <w:t>3.撰写部门项目自评结果</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在整理分析基础上，形成部门项目自评结果。</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b/>
          <w:bCs/>
          <w:color w:val="000000" w:themeColor="text1"/>
          <w:sz w:val="32"/>
          <w:szCs w:val="32"/>
          <w14:textFill>
            <w14:solidFill>
              <w14:schemeClr w14:val="tx1"/>
            </w14:solidFill>
          </w14:textFill>
        </w:rPr>
      </w:pPr>
      <w:r>
        <w:rPr>
          <w:rFonts w:hint="eastAsia" w:eastAsia="仿宋"/>
          <w:b/>
          <w:bCs/>
          <w:color w:val="000000" w:themeColor="text1"/>
          <w:sz w:val="32"/>
          <w:szCs w:val="32"/>
          <w14:textFill>
            <w14:solidFill>
              <w14:schemeClr w14:val="tx1"/>
            </w14:solidFill>
          </w14:textFill>
        </w:rPr>
        <w:t>4.建立部门项目自评档案</w:t>
      </w:r>
    </w:p>
    <w:p>
      <w:pPr>
        <w:keepNext w:val="0"/>
        <w:keepLines w:val="0"/>
        <w:pageBreakBefore w:val="0"/>
        <w:widowControl/>
        <w:kinsoku/>
        <w:wordWrap/>
        <w:overflowPunct/>
        <w:topLinePunct w:val="0"/>
        <w:autoSpaceDE/>
        <w:autoSpaceDN/>
        <w:bidi w:val="0"/>
        <w:adjustRightInd/>
        <w:snapToGrid/>
        <w:spacing w:line="360" w:lineRule="auto"/>
        <w:ind w:firstLine="640" w:firstLineChars="200"/>
        <w:textAlignment w:val="auto"/>
        <w:rPr>
          <w:rFonts w:eastAsia="仿宋"/>
          <w:color w:val="000000" w:themeColor="text1"/>
          <w:sz w:val="32"/>
          <w:szCs w:val="32"/>
          <w14:textFill>
            <w14:solidFill>
              <w14:schemeClr w14:val="tx1"/>
            </w14:solidFill>
          </w14:textFill>
        </w:rPr>
      </w:pPr>
      <w:r>
        <w:rPr>
          <w:rFonts w:hint="eastAsia" w:eastAsia="仿宋"/>
          <w:color w:val="000000" w:themeColor="text1"/>
          <w:sz w:val="32"/>
          <w:szCs w:val="32"/>
          <w14:textFill>
            <w14:solidFill>
              <w14:schemeClr w14:val="tx1"/>
            </w14:solidFill>
          </w14:textFill>
        </w:rPr>
        <w:t>部门项目自评结果按时报送财政部门备案并及时归档备查。</w:t>
      </w:r>
    </w:p>
    <w:p>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r>
        <w:rPr>
          <w:rFonts w:hint="eastAsia" w:ascii="Times New Roman" w:hAnsi="Times New Roman" w:eastAsia="楷体" w:cs="Times New Roman"/>
        </w:rPr>
        <w:t>（三）</w:t>
      </w:r>
      <w:r>
        <w:rPr>
          <w:rFonts w:ascii="Times New Roman" w:hAnsi="Times New Roman" w:eastAsia="楷体" w:cs="Times New Roman"/>
        </w:rPr>
        <w:t>绩效</w:t>
      </w:r>
      <w:r>
        <w:rPr>
          <w:rFonts w:hint="eastAsia" w:ascii="Times New Roman" w:hAnsi="Times New Roman" w:eastAsia="楷体" w:cs="Times New Roman"/>
        </w:rPr>
        <w:t>目标</w:t>
      </w:r>
      <w:r>
        <w:rPr>
          <w:rFonts w:ascii="Times New Roman" w:hAnsi="Times New Roman" w:eastAsia="楷体" w:cs="Times New Roman"/>
        </w:rPr>
        <w:t>完成情况分析</w:t>
      </w:r>
      <w:bookmarkEnd w:id="53"/>
      <w:bookmarkEnd w:id="54"/>
      <w:bookmarkEnd w:id="55"/>
      <w:bookmarkEnd w:id="56"/>
      <w:bookmarkEnd w:id="57"/>
    </w:p>
    <w:p>
      <w:pPr>
        <w:pStyle w:val="5"/>
        <w:ind w:firstLine="643"/>
      </w:pPr>
      <w:bookmarkStart w:id="58" w:name="_Toc16689"/>
      <w:bookmarkStart w:id="59" w:name="_Toc5479"/>
      <w:r>
        <w:rPr>
          <w:rFonts w:hint="eastAsia"/>
        </w:rPr>
        <w:t>1.预算执行情况分析（满分20分，得分</w:t>
      </w:r>
      <w:r>
        <w:rPr>
          <w:rFonts w:hint="eastAsia"/>
          <w:lang w:val="en-US" w:eastAsia="zh-CN"/>
        </w:rPr>
        <w:t>16.11</w:t>
      </w:r>
      <w:r>
        <w:rPr>
          <w:rFonts w:hint="eastAsia"/>
        </w:rPr>
        <w:t>分）</w:t>
      </w:r>
      <w:bookmarkEnd w:id="58"/>
      <w:bookmarkEnd w:id="59"/>
    </w:p>
    <w:p>
      <w:pPr>
        <w:ind w:firstLine="640"/>
        <w:rPr>
          <w:bCs/>
          <w:szCs w:val="32"/>
        </w:rPr>
      </w:pPr>
      <w:r>
        <w:rPr>
          <w:rFonts w:hint="eastAsia"/>
          <w:lang w:val="en-US" w:eastAsia="zh-CN"/>
        </w:rPr>
        <w:t>本项目</w:t>
      </w:r>
      <w:r>
        <w:rPr>
          <w:rFonts w:hint="eastAsia"/>
        </w:rPr>
        <w:t>202</w:t>
      </w:r>
      <w:r>
        <w:rPr>
          <w:rFonts w:hint="eastAsia"/>
          <w:lang w:val="en-US" w:eastAsia="zh-CN"/>
        </w:rPr>
        <w:t>2</w:t>
      </w:r>
      <w:r>
        <w:rPr>
          <w:rFonts w:hint="eastAsia"/>
        </w:rPr>
        <w:t>年度项目预算金额为</w:t>
      </w:r>
      <w:r>
        <w:rPr>
          <w:rFonts w:hint="eastAsia"/>
          <w:lang w:val="en-US" w:eastAsia="zh-CN"/>
        </w:rPr>
        <w:t>1,500.00</w:t>
      </w:r>
      <w:r>
        <w:rPr>
          <w:rFonts w:hint="eastAsia"/>
        </w:rPr>
        <w:t>万元。本项目年度实际支出1</w:t>
      </w:r>
      <w:r>
        <w:rPr>
          <w:rFonts w:hint="eastAsia"/>
          <w:lang w:val="en-US" w:eastAsia="zh-CN"/>
        </w:rPr>
        <w:t>,</w:t>
      </w:r>
      <w:r>
        <w:rPr>
          <w:rFonts w:hint="eastAsia"/>
        </w:rPr>
        <w:t>208.29万元，预算执行率为</w:t>
      </w:r>
      <w:r>
        <w:rPr>
          <w:rFonts w:hint="eastAsia"/>
          <w:lang w:val="en-US" w:eastAsia="zh-CN"/>
        </w:rPr>
        <w:t>80.55</w:t>
      </w:r>
      <w:r>
        <w:rPr>
          <w:rFonts w:hint="eastAsia"/>
        </w:rPr>
        <w:t>%</w:t>
      </w:r>
      <w:r>
        <w:rPr>
          <w:rFonts w:hint="eastAsia"/>
          <w:lang w:eastAsia="zh-CN"/>
        </w:rPr>
        <w:t>，</w:t>
      </w:r>
      <w:r>
        <w:rPr>
          <w:rFonts w:hint="eastAsia"/>
          <w:lang w:val="en-US" w:eastAsia="zh-CN"/>
        </w:rPr>
        <w:t>得分16.11分</w:t>
      </w:r>
      <w:r>
        <w:t>。</w:t>
      </w:r>
    </w:p>
    <w:p>
      <w:pPr>
        <w:pStyle w:val="5"/>
        <w:ind w:firstLine="643"/>
      </w:pPr>
      <w:bookmarkStart w:id="83" w:name="_GoBack"/>
      <w:bookmarkEnd w:id="83"/>
      <w:bookmarkStart w:id="60" w:name="_Toc18842"/>
      <w:bookmarkStart w:id="61" w:name="_Toc15609"/>
      <w:bookmarkStart w:id="62" w:name="_Toc17271_WPSOffice_Level2"/>
      <w:bookmarkStart w:id="63" w:name="_Toc361302036"/>
      <w:bookmarkStart w:id="64" w:name="_Toc406666374"/>
      <w:bookmarkStart w:id="65" w:name="_Toc406668048"/>
      <w:bookmarkStart w:id="66" w:name="_Toc387957823"/>
      <w:bookmarkStart w:id="67" w:name="_Toc361304699"/>
      <w:r>
        <w:rPr>
          <w:rFonts w:hint="eastAsia"/>
        </w:rPr>
        <w:t>2.绩效目标完成情况分析（满分80分，得分</w:t>
      </w:r>
      <w:r>
        <w:rPr>
          <w:rFonts w:hint="eastAsia"/>
          <w:lang w:val="en-US" w:eastAsia="zh-CN"/>
        </w:rPr>
        <w:t>80</w:t>
      </w:r>
      <w:r>
        <w:rPr>
          <w:rFonts w:hint="eastAsia"/>
        </w:rPr>
        <w:t>分）</w:t>
      </w:r>
      <w:bookmarkEnd w:id="60"/>
      <w:bookmarkEnd w:id="61"/>
    </w:p>
    <w:p>
      <w:pPr>
        <w:ind w:firstLine="640"/>
      </w:pPr>
      <w:r>
        <w:rPr>
          <w:rFonts w:hint="eastAsia"/>
        </w:rPr>
        <w:t>（</w:t>
      </w:r>
      <w:r>
        <w:t>1</w:t>
      </w:r>
      <w:r>
        <w:rPr>
          <w:rFonts w:hint="eastAsia"/>
        </w:rPr>
        <w:t>）产出指标完成情况分析（满分</w:t>
      </w:r>
      <w:r>
        <w:rPr>
          <w:rFonts w:hint="eastAsia"/>
          <w:lang w:val="en-US" w:eastAsia="zh-CN"/>
        </w:rPr>
        <w:t>35</w:t>
      </w:r>
      <w:r>
        <w:rPr>
          <w:rFonts w:hint="eastAsia"/>
        </w:rPr>
        <w:t>分，得分</w:t>
      </w:r>
      <w:r>
        <w:rPr>
          <w:rFonts w:hint="eastAsia"/>
          <w:lang w:val="en-US" w:eastAsia="zh-CN"/>
        </w:rPr>
        <w:t>35</w:t>
      </w:r>
      <w:r>
        <w:rPr>
          <w:rFonts w:hint="eastAsia"/>
        </w:rPr>
        <w:t>分）</w:t>
      </w:r>
    </w:p>
    <w:p>
      <w:pPr>
        <w:ind w:firstLine="640"/>
      </w:pPr>
      <w:r>
        <w:rPr>
          <w:rFonts w:hint="eastAsia"/>
        </w:rPr>
        <w:t>①</w:t>
      </w:r>
      <w:r>
        <w:rPr>
          <w:rFonts w:hint="eastAsia"/>
          <w:lang w:val="en-US" w:eastAsia="zh-CN"/>
        </w:rPr>
        <w:t>完成联合图审率</w:t>
      </w:r>
      <w:r>
        <w:rPr>
          <w:rFonts w:hint="eastAsia"/>
        </w:rPr>
        <w:t>：</w:t>
      </w:r>
      <w:r>
        <w:t>满分</w:t>
      </w:r>
      <w:r>
        <w:rPr>
          <w:rFonts w:hint="eastAsia"/>
          <w:lang w:val="en-US" w:eastAsia="zh-CN"/>
        </w:rPr>
        <w:t>5</w:t>
      </w:r>
      <w:r>
        <w:t>分，得分</w:t>
      </w:r>
      <w:r>
        <w:rPr>
          <w:rFonts w:hint="eastAsia"/>
          <w:lang w:val="en-US" w:eastAsia="zh-CN"/>
        </w:rPr>
        <w:t>5</w:t>
      </w:r>
      <w:r>
        <w:t>分</w:t>
      </w:r>
    </w:p>
    <w:p>
      <w:pPr>
        <w:ind w:firstLine="640"/>
        <w:rPr>
          <w:rFonts w:hint="default"/>
          <w:lang w:val="en-US"/>
        </w:rPr>
      </w:pPr>
      <w:r>
        <w:rPr>
          <w:rFonts w:hint="eastAsia"/>
          <w:lang w:val="en-US" w:eastAsia="zh-CN"/>
        </w:rPr>
        <w:t>目标为湖北省施工图数字化联合审查系统随机发生项目，受理率100%。2022年度共受理联合图审项目406个，其中建筑工程勘察审查57个、建筑工程设计75个、市政工程勘察11个、市政工程设计48个，其他专项工程215个。全部按规定程序、规定时限进行受理和审查，完成目标。</w:t>
      </w:r>
    </w:p>
    <w:p>
      <w:pPr>
        <w:ind w:firstLine="640"/>
      </w:pPr>
      <w:r>
        <w:rPr>
          <w:rFonts w:hint="eastAsia"/>
        </w:rPr>
        <w:t>②</w:t>
      </w:r>
      <w:r>
        <w:rPr>
          <w:rFonts w:hint="eastAsia"/>
          <w:lang w:val="en-US" w:eastAsia="zh-CN"/>
        </w:rPr>
        <w:t>审查合格项目抽查率</w:t>
      </w:r>
      <w:r>
        <w:rPr>
          <w:rFonts w:hint="eastAsia"/>
        </w:rPr>
        <w:t>：</w:t>
      </w:r>
      <w:r>
        <w:t>满分</w:t>
      </w:r>
      <w:r>
        <w:rPr>
          <w:rFonts w:hint="eastAsia"/>
          <w:lang w:val="en-US" w:eastAsia="zh-CN"/>
        </w:rPr>
        <w:t>5</w:t>
      </w:r>
      <w:r>
        <w:t>分，得分</w:t>
      </w:r>
      <w:r>
        <w:rPr>
          <w:rFonts w:hint="eastAsia"/>
          <w:lang w:val="en-US" w:eastAsia="zh-CN"/>
        </w:rPr>
        <w:t>5</w:t>
      </w:r>
      <w:r>
        <w:t>分</w:t>
      </w:r>
    </w:p>
    <w:p>
      <w:pPr>
        <w:ind w:firstLine="640"/>
        <w:rPr>
          <w:rFonts w:hint="eastAsia"/>
          <w:highlight w:val="none"/>
          <w:lang w:val="en-US" w:eastAsia="zh-CN"/>
        </w:rPr>
      </w:pPr>
      <w:r>
        <w:rPr>
          <w:rFonts w:hint="eastAsia"/>
          <w:lang w:val="en-US" w:eastAsia="zh-CN"/>
        </w:rPr>
        <w:t>目标为项目抽查率≥30%，2022年全年调查、抽</w:t>
      </w:r>
      <w:r>
        <w:rPr>
          <w:rFonts w:hint="eastAsia"/>
          <w:highlight w:val="none"/>
          <w:lang w:val="en-US" w:eastAsia="zh-CN"/>
        </w:rPr>
        <w:t>查项目149</w:t>
      </w:r>
      <w:r>
        <w:rPr>
          <w:rFonts w:hint="eastAsia"/>
          <w:highlight w:val="none"/>
          <w:lang w:val="en-US" w:eastAsia="zh-CN"/>
        </w:rPr>
        <w:t>个，比率为36.69%</w:t>
      </w:r>
      <w:r>
        <w:rPr>
          <w:rFonts w:hint="eastAsia"/>
          <w:highlight w:val="none"/>
          <w:lang w:val="en-US" w:eastAsia="zh-CN"/>
        </w:rPr>
        <w:t>，全年共调审两次，第一次72个项目。包括</w:t>
      </w:r>
      <w:r>
        <w:rPr>
          <w:rFonts w:hint="eastAsia"/>
          <w:lang w:val="en-US" w:eastAsia="zh-CN"/>
        </w:rPr>
        <w:t>6个建设工程的装修设计、3个建设工程的消防设计、4个建设工程的人防设计、2个建设工程的基坑设计、7个建设工程的幕墙设计，26个建筑工程的主体设计和10个市政工程设计，9个建筑工程勘察和5个市政工程勘察</w:t>
      </w:r>
      <w:r>
        <w:rPr>
          <w:rFonts w:hint="eastAsia"/>
          <w:highlight w:val="none"/>
          <w:lang w:val="en-US" w:eastAsia="zh-CN"/>
        </w:rPr>
        <w:t>。第二次调审77个项目，</w:t>
      </w:r>
    </w:p>
    <w:p>
      <w:pPr>
        <w:pStyle w:val="2"/>
        <w:ind w:left="0" w:leftChars="0" w:firstLine="0" w:firstLineChars="0"/>
        <w:rPr>
          <w:rFonts w:hint="default"/>
          <w:highlight w:val="none"/>
          <w:lang w:val="en-US" w:eastAsia="zh-CN"/>
        </w:rPr>
      </w:pPr>
      <w:r>
        <w:rPr>
          <w:rFonts w:hint="eastAsia"/>
          <w:highlight w:val="none"/>
          <w:lang w:val="en-US" w:eastAsia="zh-CN"/>
        </w:rPr>
        <w:t>完成目标。</w:t>
      </w:r>
    </w:p>
    <w:p>
      <w:pPr>
        <w:ind w:firstLine="640"/>
        <w:rPr>
          <w:rFonts w:hint="eastAsia"/>
          <w:highlight w:val="none"/>
          <w:lang w:val="en-US" w:eastAsia="zh-CN"/>
        </w:rPr>
      </w:pPr>
      <w:r>
        <w:rPr>
          <w:rFonts w:hint="eastAsia"/>
          <w:highlight w:val="none"/>
        </w:rPr>
        <w:t>③</w:t>
      </w:r>
      <w:r>
        <w:rPr>
          <w:rFonts w:hint="eastAsia"/>
          <w:highlight w:val="none"/>
          <w:lang w:val="en-US" w:eastAsia="zh-CN"/>
        </w:rPr>
        <w:t>已受理项目审查率：满分5分，得分5分</w:t>
      </w:r>
    </w:p>
    <w:p>
      <w:pPr>
        <w:ind w:firstLine="640"/>
        <w:rPr>
          <w:rFonts w:hint="default"/>
          <w:highlight w:val="none"/>
          <w:lang w:val="en-US" w:eastAsia="zh-CN"/>
        </w:rPr>
      </w:pPr>
      <w:r>
        <w:rPr>
          <w:rFonts w:hint="eastAsia"/>
          <w:highlight w:val="none"/>
          <w:lang w:val="en-US" w:eastAsia="zh-CN"/>
        </w:rPr>
        <w:t>目标为已受理项目审查率≥95%，2022年全面实行数字化审图，实行全程网办，数字化审查系统与省政务网、市工程建设项目审批管理系统互联互通，施工图审查统一从“一张网”省政务服务网申报，实现了已受理项目审查率100%目标。</w:t>
      </w:r>
    </w:p>
    <w:p>
      <w:pPr>
        <w:ind w:firstLine="640"/>
        <w:rPr>
          <w:highlight w:val="none"/>
        </w:rPr>
      </w:pPr>
      <w:r>
        <w:rPr>
          <w:rFonts w:hint="eastAsia"/>
          <w:highlight w:val="none"/>
        </w:rPr>
        <w:t>④</w:t>
      </w:r>
      <w:r>
        <w:rPr>
          <w:rFonts w:hint="eastAsia"/>
          <w:highlight w:val="none"/>
          <w:lang w:val="en-US" w:eastAsia="zh-CN"/>
        </w:rPr>
        <w:t>审查后施工图合格率</w:t>
      </w:r>
      <w:r>
        <w:rPr>
          <w:rFonts w:hint="eastAsia"/>
          <w:highlight w:val="none"/>
        </w:rPr>
        <w:t>：</w:t>
      </w:r>
      <w:r>
        <w:rPr>
          <w:highlight w:val="none"/>
        </w:rPr>
        <w:t>满分5分，得分5分</w:t>
      </w:r>
    </w:p>
    <w:p>
      <w:pPr>
        <w:ind w:firstLine="640"/>
      </w:pPr>
      <w:r>
        <w:rPr>
          <w:rFonts w:hint="eastAsia"/>
          <w:lang w:val="en-US" w:eastAsia="zh-CN"/>
        </w:rPr>
        <w:t>目标为审查后施工图合格率100%，2022年审查后项目图均不存在违反结构安全、消防安全、公众安全、公共利益等方面标准规范问题，保证了审查后施工图合格率100%，</w:t>
      </w:r>
      <w:r>
        <w:rPr>
          <w:rFonts w:hint="eastAsia"/>
        </w:rPr>
        <w:t>完成目标。</w:t>
      </w:r>
    </w:p>
    <w:p>
      <w:pPr>
        <w:ind w:firstLine="640"/>
      </w:pPr>
      <w:r>
        <w:rPr>
          <w:rFonts w:hint="eastAsia"/>
        </w:rPr>
        <w:t>⑤</w:t>
      </w:r>
      <w:r>
        <w:rPr>
          <w:rFonts w:hint="eastAsia"/>
          <w:lang w:val="en-US" w:eastAsia="zh-CN"/>
        </w:rPr>
        <w:t>整改项目闭合率</w:t>
      </w:r>
      <w:r>
        <w:rPr>
          <w:rFonts w:hint="eastAsia"/>
        </w:rPr>
        <w:t>：</w:t>
      </w:r>
      <w:r>
        <w:t>满分5分，得分5分</w:t>
      </w:r>
    </w:p>
    <w:p>
      <w:pPr>
        <w:ind w:firstLine="640"/>
        <w:rPr>
          <w:rFonts w:hint="default"/>
          <w:lang w:val="en-US" w:eastAsia="zh-CN"/>
        </w:rPr>
      </w:pPr>
      <w:r>
        <w:rPr>
          <w:rFonts w:hint="eastAsia"/>
          <w:lang w:val="en-US" w:eastAsia="zh-CN"/>
        </w:rPr>
        <w:t>目标为整改项目闭合率100%，针对房屋建筑工程设计项目、市政工程设计项目、勘察项目等图审中心对图审机构下达整改通知15份，对勘察设计单位下达整改通知33分，均已完成整改，整改闭合率100%。</w:t>
      </w:r>
    </w:p>
    <w:p>
      <w:pPr>
        <w:ind w:firstLine="640"/>
      </w:pPr>
      <w:r>
        <w:rPr>
          <w:rFonts w:hint="eastAsia" w:ascii="仿宋" w:hAnsi="仿宋"/>
        </w:rPr>
        <w:t>⑥</w:t>
      </w:r>
      <w:r>
        <w:rPr>
          <w:rFonts w:hint="eastAsia"/>
          <w:lang w:val="en-US" w:eastAsia="zh-CN"/>
        </w:rPr>
        <w:t>抽查合格率</w:t>
      </w:r>
      <w:r>
        <w:rPr>
          <w:rFonts w:hint="eastAsia"/>
        </w:rPr>
        <w:t>：</w:t>
      </w:r>
      <w:r>
        <w:t>满分5分，得分5分</w:t>
      </w:r>
    </w:p>
    <w:p>
      <w:pPr>
        <w:ind w:firstLine="640"/>
      </w:pPr>
      <w:r>
        <w:rPr>
          <w:rFonts w:hint="eastAsia"/>
          <w:lang w:val="en-US" w:eastAsia="zh-CN"/>
        </w:rPr>
        <w:t>目标为抽查合格率100%，2022年度日常抽查项目均合格，抽查合格率100%，完成目标</w:t>
      </w:r>
      <w:r>
        <w:rPr>
          <w:rFonts w:hint="eastAsia"/>
        </w:rPr>
        <w:t>。</w:t>
      </w:r>
    </w:p>
    <w:p>
      <w:pPr>
        <w:ind w:firstLine="640"/>
      </w:pPr>
      <w:r>
        <w:rPr>
          <w:rFonts w:hint="eastAsia" w:ascii="仿宋" w:hAnsi="仿宋"/>
        </w:rPr>
        <w:t>⑦</w:t>
      </w:r>
      <w:r>
        <w:rPr>
          <w:rFonts w:hint="eastAsia"/>
          <w:lang w:val="en-US" w:eastAsia="zh-CN"/>
        </w:rPr>
        <w:t>项目审查完成及时率</w:t>
      </w:r>
      <w:r>
        <w:rPr>
          <w:rFonts w:hint="eastAsia"/>
        </w:rPr>
        <w:t>：</w:t>
      </w:r>
      <w:r>
        <w:t>满分</w:t>
      </w:r>
      <w:r>
        <w:rPr>
          <w:rFonts w:hint="eastAsia"/>
        </w:rPr>
        <w:t>5</w:t>
      </w:r>
      <w:r>
        <w:t>分，得分5分</w:t>
      </w:r>
    </w:p>
    <w:p>
      <w:pPr>
        <w:ind w:firstLine="640"/>
        <w:rPr>
          <w:rFonts w:hint="eastAsia"/>
          <w:lang w:val="en-US" w:eastAsia="zh-CN"/>
        </w:rPr>
      </w:pPr>
      <w:r>
        <w:rPr>
          <w:rFonts w:hint="eastAsia"/>
          <w:lang w:val="en-US" w:eastAsia="zh-CN"/>
        </w:rPr>
        <w:t>目标为项目审查完成及时率100%，2022年所有受理项目均按规定时限完成审查，不存在超期项目，项目审查完成及时率100%，完成目标。</w:t>
      </w:r>
    </w:p>
    <w:p>
      <w:pPr>
        <w:ind w:firstLine="640"/>
      </w:pPr>
      <w:r>
        <w:rPr>
          <w:rFonts w:hint="eastAsia"/>
        </w:rPr>
        <w:t>（2）效益指标完成情况分析（满分30分，得分30分）</w:t>
      </w:r>
    </w:p>
    <w:p>
      <w:pPr>
        <w:ind w:firstLine="640"/>
      </w:pPr>
      <w:r>
        <w:rPr>
          <w:rFonts w:hint="eastAsia"/>
        </w:rPr>
        <w:t>①</w:t>
      </w:r>
      <w:r>
        <w:rPr>
          <w:rFonts w:hint="eastAsia"/>
          <w:lang w:val="en-US" w:eastAsia="zh-CN"/>
        </w:rPr>
        <w:t>投诉处理率</w:t>
      </w:r>
      <w:r>
        <w:rPr>
          <w:rFonts w:hint="eastAsia"/>
        </w:rPr>
        <w:t>：满分10分，得分10分</w:t>
      </w:r>
    </w:p>
    <w:p>
      <w:pPr>
        <w:ind w:firstLine="640"/>
        <w:rPr>
          <w:rFonts w:hint="default"/>
          <w:lang w:val="en-US" w:eastAsia="zh-CN"/>
        </w:rPr>
      </w:pPr>
      <w:r>
        <w:rPr>
          <w:rFonts w:hint="eastAsia"/>
          <w:lang w:val="en-US" w:eastAsia="zh-CN"/>
        </w:rPr>
        <w:t>目标为投诉处理率100%，2022年图审办受理投诉38条，全部按规定时限完成回复工作，无重大信访事件发生，完成目标。</w:t>
      </w:r>
    </w:p>
    <w:p>
      <w:pPr>
        <w:ind w:firstLine="640"/>
      </w:pPr>
      <w:r>
        <w:rPr>
          <w:rFonts w:hint="eastAsia"/>
        </w:rPr>
        <w:t>②</w:t>
      </w:r>
      <w:r>
        <w:rPr>
          <w:rFonts w:hint="eastAsia"/>
          <w:lang w:val="en-US" w:eastAsia="zh-CN"/>
        </w:rPr>
        <w:t>图审工时缩减率</w:t>
      </w:r>
      <w:r>
        <w:rPr>
          <w:rFonts w:hint="eastAsia"/>
        </w:rPr>
        <w:t>：满分10分，得分10分</w:t>
      </w:r>
    </w:p>
    <w:p>
      <w:pPr>
        <w:ind w:firstLine="640"/>
        <w:rPr>
          <w:rFonts w:hint="default"/>
          <w:lang w:val="en-US"/>
        </w:rPr>
      </w:pPr>
      <w:r>
        <w:rPr>
          <w:rFonts w:hint="eastAsia"/>
          <w:lang w:val="en-US" w:eastAsia="zh-CN"/>
        </w:rPr>
        <w:t>目标为缩减率50%，2022年按照省厅统一工作部署，实施建设工程联合图审工作全程网办。进一步缩减审查时限，大型工程时限由22个工作日缩减到10个工作日，中小型工程时限由15个工作日缩减到6个工作日；缩减率达100%，完成目标。</w:t>
      </w:r>
    </w:p>
    <w:p>
      <w:pPr>
        <w:ind w:firstLine="640"/>
      </w:pPr>
      <w:r>
        <w:rPr>
          <w:rFonts w:hint="eastAsia"/>
        </w:rPr>
        <w:t>③</w:t>
      </w:r>
      <w:r>
        <w:rPr>
          <w:rFonts w:hint="eastAsia"/>
          <w:lang w:val="en-US" w:eastAsia="zh-CN"/>
        </w:rPr>
        <w:t>营商环境优化度</w:t>
      </w:r>
      <w:r>
        <w:rPr>
          <w:rFonts w:hint="eastAsia"/>
        </w:rPr>
        <w:t>：满分</w:t>
      </w:r>
      <w:r>
        <w:t>10</w:t>
      </w:r>
      <w:r>
        <w:rPr>
          <w:rFonts w:hint="eastAsia"/>
        </w:rPr>
        <w:t>分，得分</w:t>
      </w:r>
      <w:r>
        <w:t>10</w:t>
      </w:r>
      <w:r>
        <w:rPr>
          <w:rFonts w:hint="eastAsia"/>
        </w:rPr>
        <w:t>分</w:t>
      </w:r>
    </w:p>
    <w:p>
      <w:pPr>
        <w:ind w:firstLine="640"/>
        <w:rPr>
          <w:rFonts w:hint="default" w:eastAsia="仿宋"/>
          <w:lang w:val="en-US" w:eastAsia="zh-CN"/>
        </w:rPr>
      </w:pPr>
      <w:r>
        <w:rPr>
          <w:rFonts w:hint="eastAsia"/>
          <w:lang w:val="en-US" w:eastAsia="zh-CN"/>
        </w:rPr>
        <w:t>目标为营商环境显著优化，2022年图审中心积极对接区营商环境专班，协调推进各部门落实职能职责范围内涉及营商环境方面的工作。联合其他部门共同制定了《产业项目建设工程单体竣工提前验收管理办法》、《武汉经济技术开发区（汉南区）低风险工业建筑监督管理实施方案》、《经开区住建行业企业纾困实施方案》等文件，进一步优化经开区营商环境，完成目标。</w:t>
      </w:r>
    </w:p>
    <w:p>
      <w:pPr>
        <w:ind w:firstLine="640"/>
      </w:pPr>
      <w:r>
        <w:rPr>
          <w:rFonts w:hint="eastAsia"/>
        </w:rPr>
        <w:t>（</w:t>
      </w:r>
      <w:r>
        <w:t>3</w:t>
      </w:r>
      <w:r>
        <w:rPr>
          <w:rFonts w:hint="eastAsia"/>
        </w:rPr>
        <w:t>）满意度指标完成情况分析（满分</w:t>
      </w:r>
      <w:r>
        <w:rPr>
          <w:rFonts w:hint="eastAsia"/>
          <w:lang w:val="en-US" w:eastAsia="zh-CN"/>
        </w:rPr>
        <w:t>1</w:t>
      </w:r>
      <w:r>
        <w:t>5</w:t>
      </w:r>
      <w:r>
        <w:rPr>
          <w:rFonts w:hint="eastAsia"/>
        </w:rPr>
        <w:t>分，得分</w:t>
      </w:r>
      <w:r>
        <w:rPr>
          <w:rFonts w:hint="eastAsia"/>
          <w:lang w:val="en-US" w:eastAsia="zh-CN"/>
        </w:rPr>
        <w:t>1</w:t>
      </w:r>
      <w:r>
        <w:t>5</w:t>
      </w:r>
      <w:r>
        <w:rPr>
          <w:rFonts w:hint="eastAsia"/>
        </w:rPr>
        <w:t>分）</w:t>
      </w:r>
    </w:p>
    <w:p>
      <w:pPr>
        <w:ind w:firstLine="640"/>
        <w:rPr>
          <w:rFonts w:cs="Times New Roman"/>
          <w:color w:val="auto"/>
          <w:kern w:val="0"/>
          <w:szCs w:val="32"/>
        </w:rPr>
      </w:pPr>
      <w:r>
        <w:rPr>
          <w:rFonts w:hint="eastAsia"/>
          <w:lang w:val="en-US" w:eastAsia="zh-CN"/>
        </w:rPr>
        <w:t>目标为建设单位对图审单位的满意度≥90%，根据反馈结果，满意度达到95%，</w:t>
      </w:r>
      <w:r>
        <w:rPr>
          <w:rFonts w:hint="eastAsia"/>
        </w:rPr>
        <w:t>完成目标。</w:t>
      </w:r>
      <w:bookmarkEnd w:id="62"/>
      <w:bookmarkEnd w:id="63"/>
      <w:bookmarkEnd w:id="64"/>
      <w:bookmarkEnd w:id="65"/>
      <w:bookmarkEnd w:id="66"/>
      <w:bookmarkEnd w:id="67"/>
      <w:bookmarkStart w:id="68" w:name="_Toc1551"/>
    </w:p>
    <w:p>
      <w:pPr>
        <w:pStyle w:val="4"/>
        <w:shd w:val="clear" w:color="auto" w:fill="FFFFFF" w:themeFill="background1"/>
        <w:spacing w:before="0" w:after="0" w:line="560" w:lineRule="exact"/>
        <w:ind w:firstLine="643"/>
        <w:contextualSpacing/>
        <w:jc w:val="left"/>
        <w:rPr>
          <w:rFonts w:ascii="Times New Roman" w:hAnsi="Times New Roman" w:eastAsia="楷体" w:cs="Times New Roman"/>
          <w:highlight w:val="yellow"/>
        </w:rPr>
      </w:pPr>
      <w:bookmarkStart w:id="69" w:name="_Toc10960"/>
      <w:bookmarkStart w:id="70" w:name="_Toc14821"/>
      <w:bookmarkStart w:id="71" w:name="_Toc10988"/>
      <w:bookmarkStart w:id="72" w:name="_Toc22377"/>
      <w:r>
        <w:rPr>
          <w:rFonts w:hint="eastAsia" w:ascii="Times New Roman" w:hAnsi="Times New Roman" w:eastAsia="楷体" w:cs="Times New Roman"/>
        </w:rPr>
        <w:t>（四）</w:t>
      </w:r>
      <w:r>
        <w:rPr>
          <w:rFonts w:ascii="Times New Roman" w:hAnsi="Times New Roman" w:eastAsia="楷体" w:cs="Times New Roman"/>
        </w:rPr>
        <w:t>上年度</w:t>
      </w:r>
      <w:r>
        <w:rPr>
          <w:rFonts w:hint="eastAsia" w:ascii="Times New Roman" w:hAnsi="Times New Roman" w:eastAsia="楷体" w:cs="Times New Roman"/>
        </w:rPr>
        <w:t>部门自评</w:t>
      </w:r>
      <w:r>
        <w:rPr>
          <w:rFonts w:ascii="Times New Roman" w:hAnsi="Times New Roman" w:eastAsia="楷体" w:cs="Times New Roman"/>
        </w:rPr>
        <w:t>结果应用情况</w:t>
      </w:r>
      <w:bookmarkEnd w:id="68"/>
      <w:bookmarkEnd w:id="69"/>
      <w:bookmarkEnd w:id="70"/>
      <w:bookmarkEnd w:id="71"/>
      <w:bookmarkEnd w:id="72"/>
    </w:p>
    <w:p>
      <w:pPr>
        <w:pStyle w:val="4"/>
        <w:shd w:val="clear" w:color="auto" w:fill="FFFFFF" w:themeFill="background1"/>
        <w:spacing w:before="0" w:after="0" w:line="560" w:lineRule="exact"/>
        <w:ind w:firstLine="643"/>
        <w:contextualSpacing/>
        <w:jc w:val="left"/>
        <w:rPr>
          <w:rFonts w:hint="eastAsia" w:ascii="Times New Roman" w:hAnsi="Times New Roman" w:eastAsia="仿宋" w:cs="宋体"/>
          <w:b w:val="0"/>
          <w:bCs w:val="0"/>
          <w:color w:val="000000"/>
          <w:kern w:val="2"/>
          <w:sz w:val="32"/>
          <w:szCs w:val="28"/>
          <w:lang w:val="en-US" w:eastAsia="zh-CN" w:bidi="ar-SA"/>
        </w:rPr>
      </w:pPr>
      <w:bookmarkStart w:id="73" w:name="_Toc17717"/>
      <w:bookmarkStart w:id="74" w:name="_Toc21534"/>
      <w:bookmarkStart w:id="75" w:name="_Toc24560"/>
      <w:bookmarkStart w:id="76" w:name="_Toc14383"/>
      <w:r>
        <w:rPr>
          <w:rFonts w:hint="eastAsia" w:ascii="Times New Roman" w:hAnsi="Times New Roman" w:eastAsia="仿宋" w:cs="宋体"/>
          <w:b w:val="0"/>
          <w:bCs w:val="0"/>
          <w:color w:val="000000"/>
          <w:kern w:val="2"/>
          <w:sz w:val="32"/>
          <w:szCs w:val="28"/>
          <w:lang w:val="en-US" w:eastAsia="zh-CN" w:bidi="ar-SA"/>
        </w:rPr>
        <w:t>本项目上年度实施了绩效自评并形成了项目自评报告。对上年度绩效评价结果的具体应用体现在绩效指标进行了优化，调整了部分图审数量指标。</w:t>
      </w:r>
    </w:p>
    <w:p>
      <w:pPr>
        <w:pStyle w:val="4"/>
        <w:shd w:val="clear" w:color="auto" w:fill="FFFFFF" w:themeFill="background1"/>
        <w:spacing w:before="0" w:after="0" w:line="560" w:lineRule="exact"/>
        <w:ind w:firstLine="643"/>
        <w:contextualSpacing/>
        <w:jc w:val="left"/>
        <w:rPr>
          <w:rFonts w:ascii="Times New Roman" w:hAnsi="Times New Roman" w:eastAsia="楷体" w:cs="Times New Roman"/>
        </w:rPr>
      </w:pPr>
      <w:r>
        <w:rPr>
          <w:rFonts w:hint="eastAsia" w:ascii="Times New Roman" w:hAnsi="Times New Roman" w:eastAsia="楷体" w:cs="Times New Roman"/>
        </w:rPr>
        <w:t>（五）其他佐证材料</w:t>
      </w:r>
      <w:bookmarkEnd w:id="73"/>
      <w:bookmarkEnd w:id="74"/>
      <w:bookmarkEnd w:id="75"/>
      <w:bookmarkEnd w:id="76"/>
    </w:p>
    <w:p>
      <w:pPr>
        <w:shd w:val="clear" w:color="auto" w:fill="FFFFFF" w:themeFill="background1"/>
        <w:ind w:firstLine="640"/>
        <w:rPr>
          <w:rFonts w:cs="Times New Roman"/>
          <w:color w:val="auto"/>
          <w:kern w:val="0"/>
          <w:szCs w:val="32"/>
        </w:rPr>
      </w:pPr>
      <w:r>
        <w:rPr>
          <w:rFonts w:hint="eastAsia" w:cs="Times New Roman"/>
          <w:color w:val="auto"/>
          <w:kern w:val="0"/>
          <w:szCs w:val="32"/>
        </w:rPr>
        <w:t>无。</w:t>
      </w:r>
    </w:p>
    <w:p>
      <w:pPr>
        <w:pStyle w:val="2"/>
        <w:ind w:firstLine="640"/>
      </w:pPr>
    </w:p>
    <w:p>
      <w:pPr>
        <w:shd w:val="clear" w:color="auto" w:fill="FFFFFF" w:themeFill="background1"/>
        <w:ind w:firstLine="640"/>
        <w:jc w:val="right"/>
        <w:rPr>
          <w:rFonts w:hint="default" w:eastAsia="仿宋" w:cs="Times New Roman"/>
          <w:bCs/>
          <w:color w:val="auto"/>
          <w:szCs w:val="32"/>
          <w:lang w:val="en-US" w:eastAsia="zh-CN"/>
        </w:rPr>
      </w:pPr>
      <w:bookmarkStart w:id="77" w:name="_Toc20783"/>
      <w:bookmarkStart w:id="78" w:name="_Toc32555"/>
      <w:bookmarkStart w:id="79" w:name="_Toc32181"/>
      <w:r>
        <w:rPr>
          <w:rFonts w:hint="eastAsia" w:cs="Times New Roman"/>
          <w:bCs/>
          <w:color w:val="auto"/>
          <w:szCs w:val="32"/>
        </w:rPr>
        <w:t>武汉经济技术开发区（汉南区）</w:t>
      </w:r>
      <w:bookmarkEnd w:id="77"/>
      <w:bookmarkEnd w:id="78"/>
      <w:bookmarkEnd w:id="79"/>
      <w:r>
        <w:rPr>
          <w:rFonts w:hint="eastAsia" w:cs="Times New Roman"/>
          <w:bCs/>
          <w:color w:val="auto"/>
          <w:szCs w:val="32"/>
          <w:lang w:val="en-US" w:eastAsia="zh-CN"/>
        </w:rPr>
        <w:t>住房和城乡建设局</w:t>
      </w:r>
    </w:p>
    <w:p>
      <w:pPr>
        <w:shd w:val="clear" w:color="auto" w:fill="FFFFFF" w:themeFill="background1"/>
        <w:ind w:firstLine="640"/>
        <w:jc w:val="right"/>
        <w:rPr>
          <w:rFonts w:hint="eastAsia" w:ascii="Times New Roman" w:hAnsi="Times New Roman" w:cs="Times New Roman"/>
          <w:bCs/>
          <w:color w:val="auto"/>
          <w:szCs w:val="32"/>
        </w:rPr>
      </w:pPr>
      <w:bookmarkStart w:id="80" w:name="_Toc6034"/>
      <w:bookmarkStart w:id="81" w:name="_Toc27968"/>
      <w:bookmarkStart w:id="82" w:name="_Toc2569"/>
      <w:r>
        <w:rPr>
          <w:rFonts w:hint="eastAsia" w:ascii="Times New Roman" w:hAnsi="Times New Roman" w:cs="Times New Roman"/>
          <w:bCs/>
          <w:color w:val="auto"/>
          <w:szCs w:val="32"/>
        </w:rPr>
        <w:t>202</w:t>
      </w:r>
      <w:r>
        <w:rPr>
          <w:rFonts w:hint="eastAsia" w:ascii="Times New Roman" w:hAnsi="Times New Roman" w:cs="Times New Roman"/>
          <w:bCs/>
          <w:color w:val="auto"/>
          <w:szCs w:val="32"/>
          <w:lang w:val="en-US" w:eastAsia="zh-CN"/>
        </w:rPr>
        <w:t>3</w:t>
      </w:r>
      <w:r>
        <w:rPr>
          <w:rFonts w:hint="eastAsia" w:ascii="Times New Roman" w:hAnsi="Times New Roman" w:cs="Times New Roman"/>
          <w:bCs/>
          <w:color w:val="auto"/>
          <w:szCs w:val="32"/>
        </w:rPr>
        <w:t>年</w:t>
      </w:r>
      <w:r>
        <w:rPr>
          <w:rFonts w:hint="eastAsia" w:ascii="Times New Roman" w:hAnsi="Times New Roman" w:cs="Times New Roman"/>
          <w:bCs/>
          <w:color w:val="auto"/>
          <w:szCs w:val="32"/>
          <w:lang w:val="en-US" w:eastAsia="zh-CN"/>
        </w:rPr>
        <w:t>4</w:t>
      </w:r>
      <w:r>
        <w:rPr>
          <w:rFonts w:hint="eastAsia" w:ascii="Times New Roman" w:hAnsi="Times New Roman" w:cs="Times New Roman"/>
          <w:bCs/>
          <w:color w:val="auto"/>
          <w:szCs w:val="32"/>
        </w:rPr>
        <w:t>月</w:t>
      </w:r>
      <w:r>
        <w:rPr>
          <w:rFonts w:hint="eastAsia" w:ascii="Times New Roman" w:hAnsi="Times New Roman" w:cs="Times New Roman"/>
          <w:bCs/>
          <w:color w:val="auto"/>
          <w:szCs w:val="32"/>
          <w:lang w:val="en-US" w:eastAsia="zh-CN"/>
        </w:rPr>
        <w:t>21</w:t>
      </w:r>
      <w:r>
        <w:rPr>
          <w:rFonts w:hint="eastAsia" w:ascii="Times New Roman" w:hAnsi="Times New Roman" w:cs="Times New Roman"/>
          <w:bCs/>
          <w:color w:val="auto"/>
          <w:szCs w:val="32"/>
        </w:rPr>
        <w:t>日</w:t>
      </w:r>
      <w:bookmarkEnd w:id="80"/>
      <w:bookmarkEnd w:id="81"/>
      <w:bookmarkEnd w:id="82"/>
    </w:p>
    <w:sectPr>
      <w:headerReference r:id="rId7" w:type="first"/>
      <w:footerReference r:id="rId10" w:type="first"/>
      <w:headerReference r:id="rId5" w:type="default"/>
      <w:footerReference r:id="rId8" w:type="default"/>
      <w:headerReference r:id="rId6" w:type="even"/>
      <w:footerReference r:id="rId9" w:type="even"/>
      <w:pgSz w:w="11906" w:h="16838"/>
      <w:pgMar w:top="2098" w:right="1474" w:bottom="1985" w:left="1588" w:header="1134" w:footer="1134" w:gutter="0"/>
      <w:pgNumType w:start="1"/>
      <w:cols w:space="425" w:num="1"/>
      <w:docGrid w:type="linesAndChar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59602295"/>
      <w:docPartObj>
        <w:docPartGallery w:val="autotext"/>
      </w:docPartObj>
    </w:sdtPr>
    <w:sdtContent>
      <w:p>
        <w:pPr>
          <w:pStyle w:val="16"/>
          <w:ind w:firstLine="360"/>
          <w:jc w:val="center"/>
        </w:pPr>
        <w:r>
          <w:fldChar w:fldCharType="begin"/>
        </w:r>
        <w:r>
          <w:instrText xml:space="preserve">PAGE   \* MERGEFORMAT</w:instrText>
        </w:r>
        <w:r>
          <w:fldChar w:fldCharType="separate"/>
        </w:r>
        <w:r>
          <w:rPr>
            <w:lang w:val="zh-CN"/>
          </w:rPr>
          <w:t>2</w:t>
        </w:r>
        <w:r>
          <w:fldChar w:fldCharType="end"/>
        </w:r>
      </w:p>
    </w:sdtContent>
  </w:sdt>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40"/>
      </w:pPr>
      <w:r>
        <w:separator/>
      </w:r>
    </w:p>
  </w:footnote>
  <w:footnote w:type="continuationSeparator" w:id="1">
    <w:p>
      <w:pPr>
        <w:spacing w:line="24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1"/>
      </w:pBdr>
      <w:ind w:firstLine="361"/>
      <w:jc w:val="right"/>
      <w:rPr>
        <w:rFonts w:ascii="仿宋_GB2312"/>
        <w:b/>
        <w:bCs/>
        <w:color w:val="auto"/>
        <w:kern w:val="0"/>
        <w:szCs w:val="21"/>
        <w:highlight w:val="gree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hideSpellingErrors/>
  <w:documentProtection w:enforcement="0"/>
  <w:defaultTabStop w:val="420"/>
  <w:drawingGridHorizontalSpacing w:val="140"/>
  <w:drawingGridVerticalSpacing w:val="204"/>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NmMDE5MmVhMGM5YjJmZDI0OWU5NDNiYzU3MmIzMzkifQ=="/>
  </w:docVars>
  <w:rsids>
    <w:rsidRoot w:val="00172A27"/>
    <w:rsid w:val="00000BCE"/>
    <w:rsid w:val="0000235E"/>
    <w:rsid w:val="00005ACA"/>
    <w:rsid w:val="00041573"/>
    <w:rsid w:val="00042F0E"/>
    <w:rsid w:val="0004520B"/>
    <w:rsid w:val="00045A13"/>
    <w:rsid w:val="000469E9"/>
    <w:rsid w:val="00057DB9"/>
    <w:rsid w:val="00063B28"/>
    <w:rsid w:val="000776B3"/>
    <w:rsid w:val="00082095"/>
    <w:rsid w:val="00090B91"/>
    <w:rsid w:val="00097D86"/>
    <w:rsid w:val="000A3161"/>
    <w:rsid w:val="000C740B"/>
    <w:rsid w:val="000C7EF3"/>
    <w:rsid w:val="000D0C9C"/>
    <w:rsid w:val="000D16ED"/>
    <w:rsid w:val="000D345F"/>
    <w:rsid w:val="000E3B94"/>
    <w:rsid w:val="000E4C5F"/>
    <w:rsid w:val="000F00A1"/>
    <w:rsid w:val="00100ED5"/>
    <w:rsid w:val="001056B5"/>
    <w:rsid w:val="00105BB0"/>
    <w:rsid w:val="0010757C"/>
    <w:rsid w:val="00112904"/>
    <w:rsid w:val="0011382C"/>
    <w:rsid w:val="00113DB3"/>
    <w:rsid w:val="0012463E"/>
    <w:rsid w:val="00137496"/>
    <w:rsid w:val="00137FB6"/>
    <w:rsid w:val="00157776"/>
    <w:rsid w:val="00157D03"/>
    <w:rsid w:val="00160436"/>
    <w:rsid w:val="0016503E"/>
    <w:rsid w:val="0016756C"/>
    <w:rsid w:val="00172A27"/>
    <w:rsid w:val="00175DBC"/>
    <w:rsid w:val="00176ACE"/>
    <w:rsid w:val="001776F1"/>
    <w:rsid w:val="00183400"/>
    <w:rsid w:val="00186A63"/>
    <w:rsid w:val="00190AB0"/>
    <w:rsid w:val="00192AE2"/>
    <w:rsid w:val="001935A2"/>
    <w:rsid w:val="00197D40"/>
    <w:rsid w:val="001A7916"/>
    <w:rsid w:val="001B4692"/>
    <w:rsid w:val="001B4A5E"/>
    <w:rsid w:val="001C2DB0"/>
    <w:rsid w:val="001C6082"/>
    <w:rsid w:val="001D0B01"/>
    <w:rsid w:val="001E4D34"/>
    <w:rsid w:val="001E6002"/>
    <w:rsid w:val="001F111C"/>
    <w:rsid w:val="001F2A79"/>
    <w:rsid w:val="001F40C7"/>
    <w:rsid w:val="001F6798"/>
    <w:rsid w:val="00202C21"/>
    <w:rsid w:val="002056EC"/>
    <w:rsid w:val="00205DC3"/>
    <w:rsid w:val="00207DFA"/>
    <w:rsid w:val="00210803"/>
    <w:rsid w:val="00213964"/>
    <w:rsid w:val="00215AC2"/>
    <w:rsid w:val="00216E7E"/>
    <w:rsid w:val="002222F3"/>
    <w:rsid w:val="0022638E"/>
    <w:rsid w:val="00242223"/>
    <w:rsid w:val="00242BDA"/>
    <w:rsid w:val="002447B8"/>
    <w:rsid w:val="00253BC9"/>
    <w:rsid w:val="00274644"/>
    <w:rsid w:val="00277235"/>
    <w:rsid w:val="00281FE0"/>
    <w:rsid w:val="00292E9C"/>
    <w:rsid w:val="0029370A"/>
    <w:rsid w:val="00297D4D"/>
    <w:rsid w:val="002A41AD"/>
    <w:rsid w:val="002A461B"/>
    <w:rsid w:val="002A76C8"/>
    <w:rsid w:val="002B54B8"/>
    <w:rsid w:val="002B78B4"/>
    <w:rsid w:val="002C400D"/>
    <w:rsid w:val="002C70BD"/>
    <w:rsid w:val="002D141B"/>
    <w:rsid w:val="002E5C09"/>
    <w:rsid w:val="002E63B8"/>
    <w:rsid w:val="002F115A"/>
    <w:rsid w:val="002F2D56"/>
    <w:rsid w:val="002F43A4"/>
    <w:rsid w:val="002F52EC"/>
    <w:rsid w:val="00301DD5"/>
    <w:rsid w:val="00307440"/>
    <w:rsid w:val="003121C1"/>
    <w:rsid w:val="00313CCC"/>
    <w:rsid w:val="0031733A"/>
    <w:rsid w:val="003257A1"/>
    <w:rsid w:val="00333AF8"/>
    <w:rsid w:val="0034643F"/>
    <w:rsid w:val="00347CB6"/>
    <w:rsid w:val="00350E53"/>
    <w:rsid w:val="00363C22"/>
    <w:rsid w:val="0037112F"/>
    <w:rsid w:val="00376564"/>
    <w:rsid w:val="0037710D"/>
    <w:rsid w:val="003A2520"/>
    <w:rsid w:val="003A509A"/>
    <w:rsid w:val="003A6643"/>
    <w:rsid w:val="003A794C"/>
    <w:rsid w:val="003B32F5"/>
    <w:rsid w:val="003B7807"/>
    <w:rsid w:val="003C3CD9"/>
    <w:rsid w:val="003C7E0D"/>
    <w:rsid w:val="003D0D08"/>
    <w:rsid w:val="003D5609"/>
    <w:rsid w:val="003D63FE"/>
    <w:rsid w:val="003D7415"/>
    <w:rsid w:val="003E4867"/>
    <w:rsid w:val="003F4432"/>
    <w:rsid w:val="003F52E5"/>
    <w:rsid w:val="0040029B"/>
    <w:rsid w:val="00401F6B"/>
    <w:rsid w:val="004116EE"/>
    <w:rsid w:val="00413859"/>
    <w:rsid w:val="00416A95"/>
    <w:rsid w:val="004214BF"/>
    <w:rsid w:val="0042449A"/>
    <w:rsid w:val="00427690"/>
    <w:rsid w:val="00432D6A"/>
    <w:rsid w:val="00433332"/>
    <w:rsid w:val="00434321"/>
    <w:rsid w:val="00437591"/>
    <w:rsid w:val="0044098A"/>
    <w:rsid w:val="00442196"/>
    <w:rsid w:val="00442525"/>
    <w:rsid w:val="0044364E"/>
    <w:rsid w:val="00447202"/>
    <w:rsid w:val="004479C4"/>
    <w:rsid w:val="0045701F"/>
    <w:rsid w:val="00457393"/>
    <w:rsid w:val="00460E20"/>
    <w:rsid w:val="00461170"/>
    <w:rsid w:val="00463143"/>
    <w:rsid w:val="00472FE1"/>
    <w:rsid w:val="00475FC0"/>
    <w:rsid w:val="00477B52"/>
    <w:rsid w:val="00486521"/>
    <w:rsid w:val="00491C41"/>
    <w:rsid w:val="00495268"/>
    <w:rsid w:val="004A3989"/>
    <w:rsid w:val="004A72D0"/>
    <w:rsid w:val="004B46C2"/>
    <w:rsid w:val="004B52B8"/>
    <w:rsid w:val="004B67C0"/>
    <w:rsid w:val="004B7F17"/>
    <w:rsid w:val="004D01EA"/>
    <w:rsid w:val="004D04CA"/>
    <w:rsid w:val="004D05A4"/>
    <w:rsid w:val="004D05BF"/>
    <w:rsid w:val="004D139B"/>
    <w:rsid w:val="004D37E1"/>
    <w:rsid w:val="004D39EC"/>
    <w:rsid w:val="004D4CE8"/>
    <w:rsid w:val="004E0CC3"/>
    <w:rsid w:val="004E2C3E"/>
    <w:rsid w:val="004E738A"/>
    <w:rsid w:val="004F1970"/>
    <w:rsid w:val="005012C1"/>
    <w:rsid w:val="0050166A"/>
    <w:rsid w:val="005018B1"/>
    <w:rsid w:val="00501A00"/>
    <w:rsid w:val="00505FAA"/>
    <w:rsid w:val="005124ED"/>
    <w:rsid w:val="005143EF"/>
    <w:rsid w:val="005211A6"/>
    <w:rsid w:val="00521539"/>
    <w:rsid w:val="00523725"/>
    <w:rsid w:val="00524D1B"/>
    <w:rsid w:val="00525D9F"/>
    <w:rsid w:val="005317BB"/>
    <w:rsid w:val="005361CA"/>
    <w:rsid w:val="005364A0"/>
    <w:rsid w:val="005479F7"/>
    <w:rsid w:val="00547A7F"/>
    <w:rsid w:val="005537B6"/>
    <w:rsid w:val="00560931"/>
    <w:rsid w:val="00561BB7"/>
    <w:rsid w:val="0056241D"/>
    <w:rsid w:val="00562647"/>
    <w:rsid w:val="00563387"/>
    <w:rsid w:val="00566DBF"/>
    <w:rsid w:val="005704EF"/>
    <w:rsid w:val="00574F25"/>
    <w:rsid w:val="0057621F"/>
    <w:rsid w:val="0057709B"/>
    <w:rsid w:val="00584F40"/>
    <w:rsid w:val="00585B6E"/>
    <w:rsid w:val="00591506"/>
    <w:rsid w:val="00591650"/>
    <w:rsid w:val="005A0F51"/>
    <w:rsid w:val="005B1BB4"/>
    <w:rsid w:val="005B5CC9"/>
    <w:rsid w:val="005B7EF8"/>
    <w:rsid w:val="005D2B03"/>
    <w:rsid w:val="005D5475"/>
    <w:rsid w:val="005D7D7D"/>
    <w:rsid w:val="005E3F49"/>
    <w:rsid w:val="005F0BEB"/>
    <w:rsid w:val="005F194D"/>
    <w:rsid w:val="005F3191"/>
    <w:rsid w:val="005F5F2E"/>
    <w:rsid w:val="005F684E"/>
    <w:rsid w:val="005F77AC"/>
    <w:rsid w:val="00603BCB"/>
    <w:rsid w:val="00606D4C"/>
    <w:rsid w:val="00607105"/>
    <w:rsid w:val="00610934"/>
    <w:rsid w:val="00612293"/>
    <w:rsid w:val="0063570D"/>
    <w:rsid w:val="006363F3"/>
    <w:rsid w:val="00642CE6"/>
    <w:rsid w:val="00643314"/>
    <w:rsid w:val="0065483E"/>
    <w:rsid w:val="006553BE"/>
    <w:rsid w:val="0066309B"/>
    <w:rsid w:val="0066674C"/>
    <w:rsid w:val="0067084C"/>
    <w:rsid w:val="006721F0"/>
    <w:rsid w:val="006735E6"/>
    <w:rsid w:val="00681307"/>
    <w:rsid w:val="006835DD"/>
    <w:rsid w:val="006841B6"/>
    <w:rsid w:val="006868DB"/>
    <w:rsid w:val="00695974"/>
    <w:rsid w:val="006A077A"/>
    <w:rsid w:val="006A0F96"/>
    <w:rsid w:val="006A4D2C"/>
    <w:rsid w:val="006B0900"/>
    <w:rsid w:val="006B32E0"/>
    <w:rsid w:val="006C1A51"/>
    <w:rsid w:val="006D0151"/>
    <w:rsid w:val="006D1AA1"/>
    <w:rsid w:val="006E2E4B"/>
    <w:rsid w:val="006E6118"/>
    <w:rsid w:val="006F0B86"/>
    <w:rsid w:val="006F1735"/>
    <w:rsid w:val="006F563D"/>
    <w:rsid w:val="0070143B"/>
    <w:rsid w:val="007140F3"/>
    <w:rsid w:val="00723325"/>
    <w:rsid w:val="00726383"/>
    <w:rsid w:val="007270A2"/>
    <w:rsid w:val="0072752E"/>
    <w:rsid w:val="00727DCF"/>
    <w:rsid w:val="00734427"/>
    <w:rsid w:val="00735A4A"/>
    <w:rsid w:val="00737E45"/>
    <w:rsid w:val="00740F51"/>
    <w:rsid w:val="00742B46"/>
    <w:rsid w:val="007553EB"/>
    <w:rsid w:val="007562F3"/>
    <w:rsid w:val="007634B9"/>
    <w:rsid w:val="00767E21"/>
    <w:rsid w:val="00775F0E"/>
    <w:rsid w:val="00776923"/>
    <w:rsid w:val="00777B26"/>
    <w:rsid w:val="007803EF"/>
    <w:rsid w:val="0078071F"/>
    <w:rsid w:val="00780C86"/>
    <w:rsid w:val="007816BD"/>
    <w:rsid w:val="007839C9"/>
    <w:rsid w:val="00785608"/>
    <w:rsid w:val="007859AE"/>
    <w:rsid w:val="0078607B"/>
    <w:rsid w:val="0079042A"/>
    <w:rsid w:val="00790EA6"/>
    <w:rsid w:val="007919FC"/>
    <w:rsid w:val="00794467"/>
    <w:rsid w:val="007A046C"/>
    <w:rsid w:val="007A27B6"/>
    <w:rsid w:val="007A2A85"/>
    <w:rsid w:val="007A77C9"/>
    <w:rsid w:val="007B11C9"/>
    <w:rsid w:val="007B2EEA"/>
    <w:rsid w:val="007B331C"/>
    <w:rsid w:val="007B6E85"/>
    <w:rsid w:val="007C0EE6"/>
    <w:rsid w:val="007C3F80"/>
    <w:rsid w:val="007C5737"/>
    <w:rsid w:val="007C7C58"/>
    <w:rsid w:val="007D084E"/>
    <w:rsid w:val="007D4314"/>
    <w:rsid w:val="007D7C3B"/>
    <w:rsid w:val="007D7C80"/>
    <w:rsid w:val="007E418B"/>
    <w:rsid w:val="007F1D75"/>
    <w:rsid w:val="007F789E"/>
    <w:rsid w:val="008029EF"/>
    <w:rsid w:val="00810E03"/>
    <w:rsid w:val="0081232B"/>
    <w:rsid w:val="00812B7F"/>
    <w:rsid w:val="0082075E"/>
    <w:rsid w:val="0083645F"/>
    <w:rsid w:val="00843C0A"/>
    <w:rsid w:val="008472BD"/>
    <w:rsid w:val="008502E4"/>
    <w:rsid w:val="00853E10"/>
    <w:rsid w:val="008549A9"/>
    <w:rsid w:val="00856928"/>
    <w:rsid w:val="00856EF9"/>
    <w:rsid w:val="00857F84"/>
    <w:rsid w:val="008609A6"/>
    <w:rsid w:val="00861E3F"/>
    <w:rsid w:val="0086496D"/>
    <w:rsid w:val="00864C95"/>
    <w:rsid w:val="00865A2B"/>
    <w:rsid w:val="00870A23"/>
    <w:rsid w:val="0087643A"/>
    <w:rsid w:val="0087757B"/>
    <w:rsid w:val="00877E54"/>
    <w:rsid w:val="008836B1"/>
    <w:rsid w:val="00883946"/>
    <w:rsid w:val="008873D3"/>
    <w:rsid w:val="008A0F3D"/>
    <w:rsid w:val="008A12BD"/>
    <w:rsid w:val="008A552E"/>
    <w:rsid w:val="008B112E"/>
    <w:rsid w:val="008B76A6"/>
    <w:rsid w:val="008C422A"/>
    <w:rsid w:val="008C5E3D"/>
    <w:rsid w:val="008D41B3"/>
    <w:rsid w:val="008E25EB"/>
    <w:rsid w:val="008E44E7"/>
    <w:rsid w:val="008E553A"/>
    <w:rsid w:val="008F081B"/>
    <w:rsid w:val="008F1329"/>
    <w:rsid w:val="008F6E39"/>
    <w:rsid w:val="00903CD6"/>
    <w:rsid w:val="00906C32"/>
    <w:rsid w:val="009111B9"/>
    <w:rsid w:val="00912BBC"/>
    <w:rsid w:val="00913A79"/>
    <w:rsid w:val="009159AD"/>
    <w:rsid w:val="00924611"/>
    <w:rsid w:val="009264BE"/>
    <w:rsid w:val="00930226"/>
    <w:rsid w:val="00930BA2"/>
    <w:rsid w:val="00935348"/>
    <w:rsid w:val="00940C31"/>
    <w:rsid w:val="00942ED1"/>
    <w:rsid w:val="00944272"/>
    <w:rsid w:val="00955DB7"/>
    <w:rsid w:val="0096250B"/>
    <w:rsid w:val="0096345A"/>
    <w:rsid w:val="009703F6"/>
    <w:rsid w:val="009768D3"/>
    <w:rsid w:val="00977073"/>
    <w:rsid w:val="009775EE"/>
    <w:rsid w:val="0098020F"/>
    <w:rsid w:val="00981ADA"/>
    <w:rsid w:val="009820F5"/>
    <w:rsid w:val="00990327"/>
    <w:rsid w:val="009A5A5B"/>
    <w:rsid w:val="009A789A"/>
    <w:rsid w:val="009B20AF"/>
    <w:rsid w:val="009B5280"/>
    <w:rsid w:val="009C5AEB"/>
    <w:rsid w:val="009C5B47"/>
    <w:rsid w:val="009D5F80"/>
    <w:rsid w:val="009E15E5"/>
    <w:rsid w:val="009E5535"/>
    <w:rsid w:val="009E583D"/>
    <w:rsid w:val="009E5DF0"/>
    <w:rsid w:val="009F3A72"/>
    <w:rsid w:val="009F7C8F"/>
    <w:rsid w:val="00A021CF"/>
    <w:rsid w:val="00A04703"/>
    <w:rsid w:val="00A11126"/>
    <w:rsid w:val="00A12791"/>
    <w:rsid w:val="00A1348C"/>
    <w:rsid w:val="00A17720"/>
    <w:rsid w:val="00A206AA"/>
    <w:rsid w:val="00A20CE0"/>
    <w:rsid w:val="00A2555F"/>
    <w:rsid w:val="00A27B77"/>
    <w:rsid w:val="00A3385E"/>
    <w:rsid w:val="00A34CBE"/>
    <w:rsid w:val="00A40E42"/>
    <w:rsid w:val="00A42D0C"/>
    <w:rsid w:val="00A5209D"/>
    <w:rsid w:val="00A52524"/>
    <w:rsid w:val="00A62E19"/>
    <w:rsid w:val="00A65F2E"/>
    <w:rsid w:val="00A77624"/>
    <w:rsid w:val="00A77CBA"/>
    <w:rsid w:val="00A82ECE"/>
    <w:rsid w:val="00A9175B"/>
    <w:rsid w:val="00AA4899"/>
    <w:rsid w:val="00AA6965"/>
    <w:rsid w:val="00AB22F1"/>
    <w:rsid w:val="00AB4AA7"/>
    <w:rsid w:val="00AB6533"/>
    <w:rsid w:val="00AB763C"/>
    <w:rsid w:val="00AC00AC"/>
    <w:rsid w:val="00AD4C79"/>
    <w:rsid w:val="00AD6177"/>
    <w:rsid w:val="00AD67A4"/>
    <w:rsid w:val="00AE279B"/>
    <w:rsid w:val="00AE44AE"/>
    <w:rsid w:val="00AF6938"/>
    <w:rsid w:val="00AF6B37"/>
    <w:rsid w:val="00AF6E00"/>
    <w:rsid w:val="00B01C12"/>
    <w:rsid w:val="00B0205D"/>
    <w:rsid w:val="00B04200"/>
    <w:rsid w:val="00B0435C"/>
    <w:rsid w:val="00B04F78"/>
    <w:rsid w:val="00B0660A"/>
    <w:rsid w:val="00B07690"/>
    <w:rsid w:val="00B1270E"/>
    <w:rsid w:val="00B30029"/>
    <w:rsid w:val="00B322E3"/>
    <w:rsid w:val="00B37D8E"/>
    <w:rsid w:val="00B452C2"/>
    <w:rsid w:val="00B45BDB"/>
    <w:rsid w:val="00B531BE"/>
    <w:rsid w:val="00B70E80"/>
    <w:rsid w:val="00B718A6"/>
    <w:rsid w:val="00B755AD"/>
    <w:rsid w:val="00B758D4"/>
    <w:rsid w:val="00B76E70"/>
    <w:rsid w:val="00B777E8"/>
    <w:rsid w:val="00B8113F"/>
    <w:rsid w:val="00B81BA0"/>
    <w:rsid w:val="00B93678"/>
    <w:rsid w:val="00B95408"/>
    <w:rsid w:val="00BA415E"/>
    <w:rsid w:val="00BA639C"/>
    <w:rsid w:val="00BA7B1E"/>
    <w:rsid w:val="00BB3A3C"/>
    <w:rsid w:val="00BB4FE5"/>
    <w:rsid w:val="00BB59FC"/>
    <w:rsid w:val="00BC2800"/>
    <w:rsid w:val="00BD0663"/>
    <w:rsid w:val="00BD0D7C"/>
    <w:rsid w:val="00BD214A"/>
    <w:rsid w:val="00BD2AA2"/>
    <w:rsid w:val="00BE2B4D"/>
    <w:rsid w:val="00BE3123"/>
    <w:rsid w:val="00BF11CA"/>
    <w:rsid w:val="00C0502A"/>
    <w:rsid w:val="00C051F6"/>
    <w:rsid w:val="00C3790C"/>
    <w:rsid w:val="00C47369"/>
    <w:rsid w:val="00C53CD5"/>
    <w:rsid w:val="00C568FA"/>
    <w:rsid w:val="00C5750E"/>
    <w:rsid w:val="00C648C6"/>
    <w:rsid w:val="00C6500F"/>
    <w:rsid w:val="00C658E7"/>
    <w:rsid w:val="00C700E3"/>
    <w:rsid w:val="00C70DC3"/>
    <w:rsid w:val="00C75F6D"/>
    <w:rsid w:val="00C87899"/>
    <w:rsid w:val="00C967E8"/>
    <w:rsid w:val="00CA5E09"/>
    <w:rsid w:val="00CA6A09"/>
    <w:rsid w:val="00CB1B36"/>
    <w:rsid w:val="00CB5754"/>
    <w:rsid w:val="00CB6C48"/>
    <w:rsid w:val="00CB7449"/>
    <w:rsid w:val="00CC05EC"/>
    <w:rsid w:val="00CC24DA"/>
    <w:rsid w:val="00CD24B4"/>
    <w:rsid w:val="00CD4462"/>
    <w:rsid w:val="00CD574B"/>
    <w:rsid w:val="00CE3B76"/>
    <w:rsid w:val="00CE4EAF"/>
    <w:rsid w:val="00CF14DD"/>
    <w:rsid w:val="00CF66CD"/>
    <w:rsid w:val="00D108CF"/>
    <w:rsid w:val="00D130BF"/>
    <w:rsid w:val="00D13AAD"/>
    <w:rsid w:val="00D17911"/>
    <w:rsid w:val="00D31233"/>
    <w:rsid w:val="00D33870"/>
    <w:rsid w:val="00D36CF6"/>
    <w:rsid w:val="00D4255E"/>
    <w:rsid w:val="00D46F74"/>
    <w:rsid w:val="00D4774C"/>
    <w:rsid w:val="00D528E3"/>
    <w:rsid w:val="00D535C0"/>
    <w:rsid w:val="00D53FDF"/>
    <w:rsid w:val="00D54038"/>
    <w:rsid w:val="00D549EE"/>
    <w:rsid w:val="00D60682"/>
    <w:rsid w:val="00D720DA"/>
    <w:rsid w:val="00D73537"/>
    <w:rsid w:val="00D8553E"/>
    <w:rsid w:val="00D85A83"/>
    <w:rsid w:val="00D876E2"/>
    <w:rsid w:val="00D90510"/>
    <w:rsid w:val="00D955C0"/>
    <w:rsid w:val="00D961E0"/>
    <w:rsid w:val="00D974D8"/>
    <w:rsid w:val="00DA01B6"/>
    <w:rsid w:val="00DA1255"/>
    <w:rsid w:val="00DB3D86"/>
    <w:rsid w:val="00DB5393"/>
    <w:rsid w:val="00DB785D"/>
    <w:rsid w:val="00DC1D6A"/>
    <w:rsid w:val="00DC3751"/>
    <w:rsid w:val="00DD0C8A"/>
    <w:rsid w:val="00DD2367"/>
    <w:rsid w:val="00DD30A3"/>
    <w:rsid w:val="00DD6D43"/>
    <w:rsid w:val="00DE5F2D"/>
    <w:rsid w:val="00DF40F5"/>
    <w:rsid w:val="00DF52A3"/>
    <w:rsid w:val="00DF558F"/>
    <w:rsid w:val="00E004B9"/>
    <w:rsid w:val="00E0756A"/>
    <w:rsid w:val="00E11CC2"/>
    <w:rsid w:val="00E202FC"/>
    <w:rsid w:val="00E23342"/>
    <w:rsid w:val="00E24E3F"/>
    <w:rsid w:val="00E41E33"/>
    <w:rsid w:val="00E461E7"/>
    <w:rsid w:val="00E463D8"/>
    <w:rsid w:val="00E5434B"/>
    <w:rsid w:val="00E66991"/>
    <w:rsid w:val="00E710AD"/>
    <w:rsid w:val="00E74284"/>
    <w:rsid w:val="00E74CE0"/>
    <w:rsid w:val="00E80A91"/>
    <w:rsid w:val="00E80E4E"/>
    <w:rsid w:val="00E81E2B"/>
    <w:rsid w:val="00E82158"/>
    <w:rsid w:val="00E851E6"/>
    <w:rsid w:val="00E869B5"/>
    <w:rsid w:val="00E90231"/>
    <w:rsid w:val="00E972E3"/>
    <w:rsid w:val="00EA4355"/>
    <w:rsid w:val="00EB4297"/>
    <w:rsid w:val="00EB42CA"/>
    <w:rsid w:val="00EC3C9B"/>
    <w:rsid w:val="00EC48BC"/>
    <w:rsid w:val="00ED0D27"/>
    <w:rsid w:val="00ED0EC0"/>
    <w:rsid w:val="00EE0B57"/>
    <w:rsid w:val="00EE20FC"/>
    <w:rsid w:val="00EE3BD0"/>
    <w:rsid w:val="00EE64F2"/>
    <w:rsid w:val="00EE75EE"/>
    <w:rsid w:val="00EF2C72"/>
    <w:rsid w:val="00EF34D4"/>
    <w:rsid w:val="00EF48B5"/>
    <w:rsid w:val="00EF706B"/>
    <w:rsid w:val="00F009EF"/>
    <w:rsid w:val="00F05808"/>
    <w:rsid w:val="00F06A6A"/>
    <w:rsid w:val="00F06C8E"/>
    <w:rsid w:val="00F07E11"/>
    <w:rsid w:val="00F11443"/>
    <w:rsid w:val="00F13BC5"/>
    <w:rsid w:val="00F13BC9"/>
    <w:rsid w:val="00F252EA"/>
    <w:rsid w:val="00F279C5"/>
    <w:rsid w:val="00F30649"/>
    <w:rsid w:val="00F310BE"/>
    <w:rsid w:val="00F45609"/>
    <w:rsid w:val="00F54A04"/>
    <w:rsid w:val="00F54D88"/>
    <w:rsid w:val="00F55A67"/>
    <w:rsid w:val="00F55E04"/>
    <w:rsid w:val="00F57D24"/>
    <w:rsid w:val="00F66E2A"/>
    <w:rsid w:val="00F772E3"/>
    <w:rsid w:val="00F82A64"/>
    <w:rsid w:val="00F84159"/>
    <w:rsid w:val="00F91F76"/>
    <w:rsid w:val="00F94346"/>
    <w:rsid w:val="00F96C66"/>
    <w:rsid w:val="00FA363F"/>
    <w:rsid w:val="00FB1612"/>
    <w:rsid w:val="00FB3255"/>
    <w:rsid w:val="00FC0048"/>
    <w:rsid w:val="00FC11E7"/>
    <w:rsid w:val="00FC4218"/>
    <w:rsid w:val="00FD738A"/>
    <w:rsid w:val="00FE0134"/>
    <w:rsid w:val="00FE7D73"/>
    <w:rsid w:val="00FF6200"/>
    <w:rsid w:val="024232A4"/>
    <w:rsid w:val="02776055"/>
    <w:rsid w:val="036E2A1F"/>
    <w:rsid w:val="03B71C58"/>
    <w:rsid w:val="044A0C1B"/>
    <w:rsid w:val="049847A1"/>
    <w:rsid w:val="04BD4A9D"/>
    <w:rsid w:val="05D26698"/>
    <w:rsid w:val="072A5838"/>
    <w:rsid w:val="076C23B4"/>
    <w:rsid w:val="07B079A4"/>
    <w:rsid w:val="08412974"/>
    <w:rsid w:val="084A2600"/>
    <w:rsid w:val="084C2267"/>
    <w:rsid w:val="08604239"/>
    <w:rsid w:val="08FA61C3"/>
    <w:rsid w:val="097E05F5"/>
    <w:rsid w:val="09F707CE"/>
    <w:rsid w:val="0AC8577F"/>
    <w:rsid w:val="0BF22DCF"/>
    <w:rsid w:val="0C082429"/>
    <w:rsid w:val="0C493DF8"/>
    <w:rsid w:val="0EC57EF8"/>
    <w:rsid w:val="0EDD410B"/>
    <w:rsid w:val="0F4F4A37"/>
    <w:rsid w:val="0FB524D8"/>
    <w:rsid w:val="107C7A5F"/>
    <w:rsid w:val="1085511E"/>
    <w:rsid w:val="10CF3D63"/>
    <w:rsid w:val="113F6C8F"/>
    <w:rsid w:val="11DA0840"/>
    <w:rsid w:val="12412ACA"/>
    <w:rsid w:val="12CA55C4"/>
    <w:rsid w:val="12EE19BE"/>
    <w:rsid w:val="14244852"/>
    <w:rsid w:val="14B0328A"/>
    <w:rsid w:val="14B51326"/>
    <w:rsid w:val="14CF2CB6"/>
    <w:rsid w:val="166A71F4"/>
    <w:rsid w:val="16971C8E"/>
    <w:rsid w:val="16DD5AF2"/>
    <w:rsid w:val="17005DDA"/>
    <w:rsid w:val="18FB0DD9"/>
    <w:rsid w:val="19900D35"/>
    <w:rsid w:val="19924586"/>
    <w:rsid w:val="1A81787B"/>
    <w:rsid w:val="1B026E16"/>
    <w:rsid w:val="1B6313F3"/>
    <w:rsid w:val="1B7846C6"/>
    <w:rsid w:val="1C104AD4"/>
    <w:rsid w:val="1CF965EF"/>
    <w:rsid w:val="1D30098B"/>
    <w:rsid w:val="1D40714D"/>
    <w:rsid w:val="1DD76909"/>
    <w:rsid w:val="1E050ED5"/>
    <w:rsid w:val="1E6A7BB2"/>
    <w:rsid w:val="1E782BDB"/>
    <w:rsid w:val="1F5775A2"/>
    <w:rsid w:val="1FEB3548"/>
    <w:rsid w:val="20A63291"/>
    <w:rsid w:val="20DD1F8C"/>
    <w:rsid w:val="21113084"/>
    <w:rsid w:val="21802732"/>
    <w:rsid w:val="21E8671C"/>
    <w:rsid w:val="22456C64"/>
    <w:rsid w:val="22AA3757"/>
    <w:rsid w:val="231D23C6"/>
    <w:rsid w:val="232269D1"/>
    <w:rsid w:val="232621DD"/>
    <w:rsid w:val="233738D3"/>
    <w:rsid w:val="23495265"/>
    <w:rsid w:val="236F776C"/>
    <w:rsid w:val="240759D6"/>
    <w:rsid w:val="246B4F37"/>
    <w:rsid w:val="24D4291D"/>
    <w:rsid w:val="259E2CD6"/>
    <w:rsid w:val="264A117F"/>
    <w:rsid w:val="26986994"/>
    <w:rsid w:val="26CB6A94"/>
    <w:rsid w:val="272F1C49"/>
    <w:rsid w:val="27435B2D"/>
    <w:rsid w:val="278528D4"/>
    <w:rsid w:val="27944AF9"/>
    <w:rsid w:val="27DA55A6"/>
    <w:rsid w:val="28466408"/>
    <w:rsid w:val="299D5CE7"/>
    <w:rsid w:val="2A4354D4"/>
    <w:rsid w:val="2A874D1D"/>
    <w:rsid w:val="2AAA7A11"/>
    <w:rsid w:val="2B3F79DB"/>
    <w:rsid w:val="2B545F28"/>
    <w:rsid w:val="2B585398"/>
    <w:rsid w:val="2BDA4E40"/>
    <w:rsid w:val="2C64728A"/>
    <w:rsid w:val="2C9A1AF4"/>
    <w:rsid w:val="2CD83B77"/>
    <w:rsid w:val="2DFE5C6B"/>
    <w:rsid w:val="2E1E559E"/>
    <w:rsid w:val="2E5A6865"/>
    <w:rsid w:val="2E6C2F7A"/>
    <w:rsid w:val="2E8144DD"/>
    <w:rsid w:val="2EA20008"/>
    <w:rsid w:val="2EC46471"/>
    <w:rsid w:val="2F9624C7"/>
    <w:rsid w:val="2FDB2D55"/>
    <w:rsid w:val="2FFC5966"/>
    <w:rsid w:val="305C03AC"/>
    <w:rsid w:val="307211E8"/>
    <w:rsid w:val="30AB234B"/>
    <w:rsid w:val="311808BB"/>
    <w:rsid w:val="318A2687"/>
    <w:rsid w:val="32051CD4"/>
    <w:rsid w:val="33426245"/>
    <w:rsid w:val="33B24FA9"/>
    <w:rsid w:val="351A2E78"/>
    <w:rsid w:val="353D51C5"/>
    <w:rsid w:val="35A63E94"/>
    <w:rsid w:val="36047229"/>
    <w:rsid w:val="36221461"/>
    <w:rsid w:val="364F1FD2"/>
    <w:rsid w:val="364F3BF3"/>
    <w:rsid w:val="36894C12"/>
    <w:rsid w:val="369F177E"/>
    <w:rsid w:val="36BE63C3"/>
    <w:rsid w:val="379B020E"/>
    <w:rsid w:val="37F74A1B"/>
    <w:rsid w:val="38C04BD1"/>
    <w:rsid w:val="38D17E4C"/>
    <w:rsid w:val="393F4B8E"/>
    <w:rsid w:val="39AB6039"/>
    <w:rsid w:val="3A933FF4"/>
    <w:rsid w:val="3B223EA3"/>
    <w:rsid w:val="3B47028A"/>
    <w:rsid w:val="3B5C7CD9"/>
    <w:rsid w:val="3CC66EE8"/>
    <w:rsid w:val="3DE701D1"/>
    <w:rsid w:val="3E6738DC"/>
    <w:rsid w:val="40561CA7"/>
    <w:rsid w:val="42D746AD"/>
    <w:rsid w:val="43941FDA"/>
    <w:rsid w:val="445C18DD"/>
    <w:rsid w:val="45590F5C"/>
    <w:rsid w:val="460E70A4"/>
    <w:rsid w:val="46222CDE"/>
    <w:rsid w:val="46252B64"/>
    <w:rsid w:val="46B86202"/>
    <w:rsid w:val="46C82706"/>
    <w:rsid w:val="47273F86"/>
    <w:rsid w:val="4868343D"/>
    <w:rsid w:val="486A0493"/>
    <w:rsid w:val="49501A22"/>
    <w:rsid w:val="49BF5CB7"/>
    <w:rsid w:val="4A2870B8"/>
    <w:rsid w:val="4A866E5E"/>
    <w:rsid w:val="4AB942D8"/>
    <w:rsid w:val="4B02325D"/>
    <w:rsid w:val="4B2C565D"/>
    <w:rsid w:val="4B4F2176"/>
    <w:rsid w:val="4BE97ED5"/>
    <w:rsid w:val="4BEA1320"/>
    <w:rsid w:val="4D223B32"/>
    <w:rsid w:val="4D5A2B1B"/>
    <w:rsid w:val="4DAC5D2A"/>
    <w:rsid w:val="4ECA7A01"/>
    <w:rsid w:val="4EE505F0"/>
    <w:rsid w:val="4F100A39"/>
    <w:rsid w:val="4F272DC3"/>
    <w:rsid w:val="4F89408D"/>
    <w:rsid w:val="4F8D54F3"/>
    <w:rsid w:val="4F976C0B"/>
    <w:rsid w:val="50481668"/>
    <w:rsid w:val="506F791C"/>
    <w:rsid w:val="51D1552C"/>
    <w:rsid w:val="51EC6B3C"/>
    <w:rsid w:val="52337E49"/>
    <w:rsid w:val="52463E72"/>
    <w:rsid w:val="52713B5E"/>
    <w:rsid w:val="528303DD"/>
    <w:rsid w:val="52BF450F"/>
    <w:rsid w:val="53D71D82"/>
    <w:rsid w:val="55817093"/>
    <w:rsid w:val="56160E0B"/>
    <w:rsid w:val="562D65D5"/>
    <w:rsid w:val="5659010B"/>
    <w:rsid w:val="56666088"/>
    <w:rsid w:val="56F61C90"/>
    <w:rsid w:val="57A06EA8"/>
    <w:rsid w:val="582C5A2B"/>
    <w:rsid w:val="584E3261"/>
    <w:rsid w:val="59F80580"/>
    <w:rsid w:val="5A4448F5"/>
    <w:rsid w:val="5AD46483"/>
    <w:rsid w:val="5B1D245A"/>
    <w:rsid w:val="5B373C9C"/>
    <w:rsid w:val="5B425D2C"/>
    <w:rsid w:val="5B54003F"/>
    <w:rsid w:val="5C755DA0"/>
    <w:rsid w:val="5C7F7528"/>
    <w:rsid w:val="5D191A98"/>
    <w:rsid w:val="5D2428B8"/>
    <w:rsid w:val="5D520FB6"/>
    <w:rsid w:val="5D755BA3"/>
    <w:rsid w:val="5D9B1088"/>
    <w:rsid w:val="5DAA4A8B"/>
    <w:rsid w:val="5DB82662"/>
    <w:rsid w:val="5DE975E6"/>
    <w:rsid w:val="5E8F32C0"/>
    <w:rsid w:val="5F401133"/>
    <w:rsid w:val="5F5312DA"/>
    <w:rsid w:val="5F597724"/>
    <w:rsid w:val="60996CF0"/>
    <w:rsid w:val="60E04FB4"/>
    <w:rsid w:val="610E5498"/>
    <w:rsid w:val="61501E97"/>
    <w:rsid w:val="61847A55"/>
    <w:rsid w:val="620D4506"/>
    <w:rsid w:val="62926680"/>
    <w:rsid w:val="62A7625B"/>
    <w:rsid w:val="63983C1A"/>
    <w:rsid w:val="63A17B15"/>
    <w:rsid w:val="63A271B9"/>
    <w:rsid w:val="63CD2F4A"/>
    <w:rsid w:val="641448F3"/>
    <w:rsid w:val="642E7C43"/>
    <w:rsid w:val="64A52EE9"/>
    <w:rsid w:val="64B3759B"/>
    <w:rsid w:val="654C12EB"/>
    <w:rsid w:val="66133574"/>
    <w:rsid w:val="66BD40A9"/>
    <w:rsid w:val="67BF549B"/>
    <w:rsid w:val="680C6882"/>
    <w:rsid w:val="686C1254"/>
    <w:rsid w:val="68D73E1F"/>
    <w:rsid w:val="69497E1D"/>
    <w:rsid w:val="695F6485"/>
    <w:rsid w:val="6AED4CFD"/>
    <w:rsid w:val="6C3872EE"/>
    <w:rsid w:val="6D6B39EB"/>
    <w:rsid w:val="6DE123D1"/>
    <w:rsid w:val="6E965E3F"/>
    <w:rsid w:val="6EB439B0"/>
    <w:rsid w:val="6EF41217"/>
    <w:rsid w:val="6F100F13"/>
    <w:rsid w:val="6FA96956"/>
    <w:rsid w:val="6FDF37F7"/>
    <w:rsid w:val="70456C1C"/>
    <w:rsid w:val="7148282A"/>
    <w:rsid w:val="718F3D0A"/>
    <w:rsid w:val="72551845"/>
    <w:rsid w:val="72586AB5"/>
    <w:rsid w:val="725C6CA3"/>
    <w:rsid w:val="72B419CF"/>
    <w:rsid w:val="755F2701"/>
    <w:rsid w:val="75EA0EE8"/>
    <w:rsid w:val="76921C0F"/>
    <w:rsid w:val="772201F2"/>
    <w:rsid w:val="775C6379"/>
    <w:rsid w:val="77E61C76"/>
    <w:rsid w:val="78171136"/>
    <w:rsid w:val="79C15CF6"/>
    <w:rsid w:val="79CF3B1B"/>
    <w:rsid w:val="7A235085"/>
    <w:rsid w:val="7B895536"/>
    <w:rsid w:val="7C7225D5"/>
    <w:rsid w:val="7CBA536A"/>
    <w:rsid w:val="7D1F55E6"/>
    <w:rsid w:val="7D641DDF"/>
    <w:rsid w:val="7D693BAD"/>
    <w:rsid w:val="7D8B0CDD"/>
    <w:rsid w:val="7D8E5042"/>
    <w:rsid w:val="7DC03A6F"/>
    <w:rsid w:val="7EE06950"/>
    <w:rsid w:val="7F6512A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semiHidden="0" w:name="heading 3"/>
    <w:lsdException w:qFormat="1" w:uiPriority="9" w:name="heading 4"/>
    <w:lsdException w:qFormat="1" w:unhideWhenUsed="0" w:uiPriority="0"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semiHidden="0"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560" w:lineRule="exact"/>
      <w:ind w:firstLine="560" w:firstLineChars="200"/>
      <w:jc w:val="both"/>
    </w:pPr>
    <w:rPr>
      <w:rFonts w:ascii="Times New Roman" w:hAnsi="Times New Roman" w:eastAsia="仿宋" w:cs="宋体"/>
      <w:color w:val="000000"/>
      <w:kern w:val="2"/>
      <w:sz w:val="32"/>
      <w:szCs w:val="28"/>
      <w:lang w:val="en-US" w:eastAsia="zh-CN" w:bidi="ar-SA"/>
    </w:rPr>
  </w:style>
  <w:style w:type="paragraph" w:styleId="3">
    <w:name w:val="heading 1"/>
    <w:basedOn w:val="1"/>
    <w:next w:val="1"/>
    <w:link w:val="36"/>
    <w:qFormat/>
    <w:uiPriority w:val="0"/>
    <w:pPr>
      <w:keepNext/>
      <w:keepLines/>
      <w:outlineLvl w:val="0"/>
    </w:pPr>
    <w:rPr>
      <w:rFonts w:eastAsia="黑体" w:asciiTheme="minorHAnsi" w:hAnsiTheme="minorHAnsi" w:cstheme="minorBidi"/>
      <w:b/>
      <w:bCs/>
      <w:color w:val="auto"/>
      <w:kern w:val="44"/>
      <w:szCs w:val="44"/>
    </w:rPr>
  </w:style>
  <w:style w:type="paragraph" w:styleId="4">
    <w:name w:val="heading 2"/>
    <w:basedOn w:val="1"/>
    <w:next w:val="1"/>
    <w:link w:val="38"/>
    <w:unhideWhenUsed/>
    <w:qFormat/>
    <w:uiPriority w:val="9"/>
    <w:pPr>
      <w:keepNext/>
      <w:keepLines/>
      <w:spacing w:before="260" w:after="260" w:line="416" w:lineRule="auto"/>
      <w:outlineLvl w:val="1"/>
    </w:pPr>
    <w:rPr>
      <w:rFonts w:asciiTheme="majorHAnsi" w:hAnsiTheme="majorHAnsi" w:eastAsiaTheme="majorEastAsia" w:cstheme="majorBidi"/>
      <w:b/>
      <w:bCs/>
      <w:color w:val="auto"/>
      <w:szCs w:val="32"/>
    </w:rPr>
  </w:style>
  <w:style w:type="paragraph" w:styleId="5">
    <w:name w:val="heading 3"/>
    <w:basedOn w:val="1"/>
    <w:next w:val="1"/>
    <w:link w:val="37"/>
    <w:unhideWhenUsed/>
    <w:qFormat/>
    <w:uiPriority w:val="0"/>
    <w:pPr>
      <w:keepNext/>
      <w:keepLines/>
      <w:outlineLvl w:val="2"/>
    </w:pPr>
    <w:rPr>
      <w:b/>
      <w:bCs/>
      <w:szCs w:val="32"/>
    </w:rPr>
  </w:style>
  <w:style w:type="paragraph" w:styleId="6">
    <w:name w:val="heading 5"/>
    <w:basedOn w:val="1"/>
    <w:next w:val="1"/>
    <w:qFormat/>
    <w:uiPriority w:val="0"/>
    <w:pPr>
      <w:keepNext/>
      <w:outlineLvl w:val="4"/>
    </w:pPr>
    <w:rPr>
      <w:rFonts w:ascii="宋体" w:hAnsi="宋体"/>
      <w:b/>
      <w:bCs/>
      <w:sz w:val="24"/>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2">
    <w:name w:val="Body Text"/>
    <w:basedOn w:val="1"/>
    <w:semiHidden/>
    <w:unhideWhenUsed/>
    <w:qFormat/>
    <w:uiPriority w:val="99"/>
    <w:pPr>
      <w:spacing w:after="120"/>
    </w:pPr>
  </w:style>
  <w:style w:type="paragraph" w:styleId="7">
    <w:name w:val="toc 7"/>
    <w:basedOn w:val="1"/>
    <w:next w:val="1"/>
    <w:qFormat/>
    <w:uiPriority w:val="0"/>
    <w:pPr>
      <w:spacing w:line="360" w:lineRule="auto"/>
      <w:ind w:left="1800" w:firstLine="200"/>
      <w:jc w:val="left"/>
    </w:pPr>
    <w:rPr>
      <w:rFonts w:ascii="等线" w:hAnsi="等线" w:eastAsia="仿宋_GB2312" w:cs="Times New Roman"/>
      <w:color w:val="auto"/>
      <w:sz w:val="18"/>
      <w:szCs w:val="18"/>
    </w:rPr>
  </w:style>
  <w:style w:type="paragraph" w:styleId="8">
    <w:name w:val="Document Map"/>
    <w:basedOn w:val="1"/>
    <w:link w:val="39"/>
    <w:unhideWhenUsed/>
    <w:qFormat/>
    <w:uiPriority w:val="99"/>
    <w:rPr>
      <w:rFonts w:ascii="宋体"/>
      <w:sz w:val="18"/>
      <w:szCs w:val="18"/>
    </w:rPr>
  </w:style>
  <w:style w:type="paragraph" w:styleId="9">
    <w:name w:val="annotation text"/>
    <w:basedOn w:val="1"/>
    <w:link w:val="52"/>
    <w:qFormat/>
    <w:uiPriority w:val="0"/>
    <w:pPr>
      <w:spacing w:line="360" w:lineRule="auto"/>
      <w:ind w:firstLine="200"/>
      <w:jc w:val="left"/>
    </w:pPr>
    <w:rPr>
      <w:rFonts w:ascii="等线" w:hAnsi="等线" w:eastAsia="仿宋_GB2312" w:cs="Times New Roman"/>
      <w:color w:val="auto"/>
      <w:sz w:val="24"/>
      <w:szCs w:val="24"/>
    </w:rPr>
  </w:style>
  <w:style w:type="paragraph" w:styleId="10">
    <w:name w:val="Body Text Indent"/>
    <w:basedOn w:val="1"/>
    <w:link w:val="54"/>
    <w:qFormat/>
    <w:uiPriority w:val="99"/>
    <w:pPr>
      <w:ind w:firstLine="1200" w:firstLineChars="375"/>
    </w:pPr>
    <w:rPr>
      <w:rFonts w:ascii="等线" w:hAnsi="等线" w:eastAsia="仿宋_GB2312" w:cs="Times New Roman"/>
      <w:color w:val="auto"/>
      <w:szCs w:val="24"/>
    </w:rPr>
  </w:style>
  <w:style w:type="paragraph" w:styleId="11">
    <w:name w:val="toc 5"/>
    <w:basedOn w:val="1"/>
    <w:next w:val="1"/>
    <w:qFormat/>
    <w:uiPriority w:val="0"/>
    <w:pPr>
      <w:spacing w:line="360" w:lineRule="auto"/>
      <w:ind w:left="1200" w:firstLine="200"/>
      <w:jc w:val="left"/>
    </w:pPr>
    <w:rPr>
      <w:rFonts w:ascii="等线" w:hAnsi="等线" w:eastAsia="仿宋_GB2312" w:cs="Times New Roman"/>
      <w:color w:val="auto"/>
      <w:sz w:val="18"/>
      <w:szCs w:val="18"/>
    </w:rPr>
  </w:style>
  <w:style w:type="paragraph" w:styleId="12">
    <w:name w:val="toc 3"/>
    <w:basedOn w:val="1"/>
    <w:next w:val="1"/>
    <w:unhideWhenUsed/>
    <w:qFormat/>
    <w:uiPriority w:val="39"/>
    <w:pPr>
      <w:ind w:left="840" w:leftChars="400"/>
    </w:pPr>
  </w:style>
  <w:style w:type="paragraph" w:styleId="13">
    <w:name w:val="toc 8"/>
    <w:basedOn w:val="1"/>
    <w:next w:val="1"/>
    <w:qFormat/>
    <w:uiPriority w:val="0"/>
    <w:pPr>
      <w:spacing w:line="360" w:lineRule="auto"/>
      <w:ind w:left="2100" w:firstLine="200"/>
      <w:jc w:val="left"/>
    </w:pPr>
    <w:rPr>
      <w:rFonts w:ascii="等线" w:hAnsi="等线" w:eastAsia="仿宋_GB2312" w:cs="Times New Roman"/>
      <w:color w:val="auto"/>
      <w:sz w:val="18"/>
      <w:szCs w:val="18"/>
    </w:rPr>
  </w:style>
  <w:style w:type="paragraph" w:styleId="14">
    <w:name w:val="Date"/>
    <w:basedOn w:val="1"/>
    <w:next w:val="1"/>
    <w:link w:val="55"/>
    <w:unhideWhenUsed/>
    <w:qFormat/>
    <w:uiPriority w:val="99"/>
    <w:pPr>
      <w:spacing w:line="360" w:lineRule="auto"/>
      <w:ind w:left="100" w:leftChars="2500" w:firstLine="200"/>
    </w:pPr>
    <w:rPr>
      <w:rFonts w:ascii="等线" w:hAnsi="等线" w:eastAsia="仿宋_GB2312" w:cs="Times New Roman"/>
      <w:color w:val="auto"/>
      <w:sz w:val="24"/>
      <w:szCs w:val="24"/>
    </w:rPr>
  </w:style>
  <w:style w:type="paragraph" w:styleId="15">
    <w:name w:val="Balloon Text"/>
    <w:basedOn w:val="1"/>
    <w:link w:val="40"/>
    <w:unhideWhenUsed/>
    <w:qFormat/>
    <w:uiPriority w:val="0"/>
    <w:rPr>
      <w:sz w:val="18"/>
      <w:szCs w:val="18"/>
    </w:rPr>
  </w:style>
  <w:style w:type="paragraph" w:styleId="16">
    <w:name w:val="footer"/>
    <w:basedOn w:val="1"/>
    <w:link w:val="41"/>
    <w:unhideWhenUsed/>
    <w:qFormat/>
    <w:uiPriority w:val="99"/>
    <w:pPr>
      <w:tabs>
        <w:tab w:val="center" w:pos="4153"/>
        <w:tab w:val="right" w:pos="8306"/>
      </w:tabs>
      <w:snapToGrid w:val="0"/>
      <w:jc w:val="left"/>
    </w:pPr>
    <w:rPr>
      <w:sz w:val="18"/>
      <w:szCs w:val="18"/>
    </w:rPr>
  </w:style>
  <w:style w:type="paragraph" w:styleId="17">
    <w:name w:val="header"/>
    <w:basedOn w:val="1"/>
    <w:link w:val="42"/>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pPr>
      <w:tabs>
        <w:tab w:val="right" w:leader="dot" w:pos="8296"/>
      </w:tabs>
      <w:spacing w:line="360" w:lineRule="exact"/>
    </w:pPr>
    <w:rPr>
      <w:rFonts w:ascii="仿宋_GB2312" w:hAnsi="仿宋"/>
      <w:b/>
    </w:rPr>
  </w:style>
  <w:style w:type="paragraph" w:styleId="19">
    <w:name w:val="toc 4"/>
    <w:basedOn w:val="1"/>
    <w:next w:val="1"/>
    <w:qFormat/>
    <w:uiPriority w:val="0"/>
    <w:pPr>
      <w:tabs>
        <w:tab w:val="right" w:leader="dot" w:pos="8693"/>
      </w:tabs>
      <w:spacing w:line="300" w:lineRule="exact"/>
      <w:ind w:left="902" w:firstLine="200"/>
      <w:jc w:val="left"/>
    </w:pPr>
    <w:rPr>
      <w:rFonts w:ascii="等线" w:hAnsi="等线" w:eastAsia="仿宋_GB2312" w:cs="Times New Roman"/>
      <w:color w:val="auto"/>
      <w:szCs w:val="18"/>
    </w:rPr>
  </w:style>
  <w:style w:type="paragraph" w:styleId="20">
    <w:name w:val="Subtitle"/>
    <w:basedOn w:val="1"/>
    <w:next w:val="1"/>
    <w:link w:val="56"/>
    <w:qFormat/>
    <w:uiPriority w:val="11"/>
    <w:pPr>
      <w:spacing w:before="240" w:after="60" w:line="312" w:lineRule="auto"/>
      <w:jc w:val="center"/>
      <w:outlineLvl w:val="1"/>
    </w:pPr>
    <w:rPr>
      <w:rFonts w:ascii="Cambria" w:hAnsi="Cambria" w:eastAsia="等线" w:cs="Times New Roman"/>
      <w:b/>
      <w:bCs/>
      <w:color w:val="auto"/>
      <w:kern w:val="28"/>
      <w:sz w:val="20"/>
      <w:szCs w:val="32"/>
    </w:rPr>
  </w:style>
  <w:style w:type="paragraph" w:styleId="21">
    <w:name w:val="toc 6"/>
    <w:basedOn w:val="1"/>
    <w:next w:val="1"/>
    <w:qFormat/>
    <w:uiPriority w:val="0"/>
    <w:pPr>
      <w:spacing w:line="360" w:lineRule="auto"/>
      <w:ind w:left="1500" w:firstLine="200"/>
      <w:jc w:val="left"/>
    </w:pPr>
    <w:rPr>
      <w:rFonts w:ascii="等线" w:hAnsi="等线" w:eastAsia="仿宋_GB2312" w:cs="Times New Roman"/>
      <w:color w:val="auto"/>
      <w:sz w:val="18"/>
      <w:szCs w:val="18"/>
    </w:rPr>
  </w:style>
  <w:style w:type="paragraph" w:styleId="22">
    <w:name w:val="toc 2"/>
    <w:basedOn w:val="1"/>
    <w:next w:val="1"/>
    <w:unhideWhenUsed/>
    <w:qFormat/>
    <w:uiPriority w:val="39"/>
    <w:pPr>
      <w:ind w:left="420" w:leftChars="200"/>
    </w:pPr>
  </w:style>
  <w:style w:type="paragraph" w:styleId="23">
    <w:name w:val="toc 9"/>
    <w:basedOn w:val="1"/>
    <w:next w:val="1"/>
    <w:qFormat/>
    <w:uiPriority w:val="0"/>
    <w:pPr>
      <w:spacing w:line="360" w:lineRule="auto"/>
      <w:ind w:left="2400" w:firstLine="200"/>
      <w:jc w:val="left"/>
    </w:pPr>
    <w:rPr>
      <w:rFonts w:ascii="等线" w:hAnsi="等线" w:eastAsia="仿宋_GB2312" w:cs="Times New Roman"/>
      <w:color w:val="auto"/>
      <w:sz w:val="18"/>
      <w:szCs w:val="18"/>
    </w:rPr>
  </w:style>
  <w:style w:type="paragraph" w:styleId="24">
    <w:name w:val="HTML Preformatted"/>
    <w:basedOn w:val="1"/>
    <w:link w:val="43"/>
    <w:unhideWhenUsed/>
    <w:qFormat/>
    <w:uiPriority w:val="9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olor w:val="auto"/>
      <w:kern w:val="0"/>
      <w:sz w:val="24"/>
      <w:szCs w:val="24"/>
    </w:rPr>
  </w:style>
  <w:style w:type="paragraph" w:styleId="25">
    <w:name w:val="Normal (Web)"/>
    <w:basedOn w:val="1"/>
    <w:unhideWhenUsed/>
    <w:qFormat/>
    <w:uiPriority w:val="99"/>
    <w:pPr>
      <w:widowControl/>
      <w:spacing w:before="100" w:beforeAutospacing="1" w:after="100" w:afterAutospacing="1"/>
      <w:jc w:val="left"/>
    </w:pPr>
    <w:rPr>
      <w:rFonts w:ascii="宋体" w:hAnsi="宋体"/>
      <w:color w:val="auto"/>
      <w:kern w:val="0"/>
      <w:sz w:val="24"/>
      <w:szCs w:val="24"/>
    </w:rPr>
  </w:style>
  <w:style w:type="paragraph" w:styleId="26">
    <w:name w:val="Title"/>
    <w:basedOn w:val="1"/>
    <w:next w:val="1"/>
    <w:link w:val="44"/>
    <w:qFormat/>
    <w:uiPriority w:val="10"/>
    <w:pPr>
      <w:spacing w:line="360" w:lineRule="auto"/>
      <w:ind w:firstLine="200"/>
      <w:jc w:val="left"/>
      <w:outlineLvl w:val="3"/>
    </w:pPr>
    <w:rPr>
      <w:rFonts w:ascii="Cambria" w:hAnsi="Cambria" w:eastAsia="仿宋_GB2312" w:cs="Times New Roman"/>
      <w:bCs/>
      <w:color w:val="auto"/>
      <w:sz w:val="24"/>
      <w:szCs w:val="32"/>
    </w:rPr>
  </w:style>
  <w:style w:type="paragraph" w:styleId="27">
    <w:name w:val="annotation subject"/>
    <w:basedOn w:val="9"/>
    <w:next w:val="9"/>
    <w:link w:val="57"/>
    <w:semiHidden/>
    <w:unhideWhenUsed/>
    <w:qFormat/>
    <w:uiPriority w:val="99"/>
    <w:rPr>
      <w:b/>
      <w:bCs/>
    </w:rPr>
  </w:style>
  <w:style w:type="table" w:styleId="29">
    <w:name w:val="Table Grid"/>
    <w:basedOn w:val="28"/>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basedOn w:val="30"/>
    <w:qFormat/>
    <w:uiPriority w:val="22"/>
    <w:rPr>
      <w:b/>
    </w:rPr>
  </w:style>
  <w:style w:type="character" w:styleId="32">
    <w:name w:val="page number"/>
    <w:basedOn w:val="30"/>
    <w:qFormat/>
    <w:uiPriority w:val="99"/>
    <w:rPr>
      <w:rFonts w:cs="Times New Roman"/>
    </w:rPr>
  </w:style>
  <w:style w:type="character" w:styleId="33">
    <w:name w:val="FollowedHyperlink"/>
    <w:basedOn w:val="30"/>
    <w:semiHidden/>
    <w:unhideWhenUsed/>
    <w:qFormat/>
    <w:uiPriority w:val="99"/>
    <w:rPr>
      <w:color w:val="800080"/>
      <w:u w:val="single"/>
    </w:rPr>
  </w:style>
  <w:style w:type="character" w:styleId="34">
    <w:name w:val="Hyperlink"/>
    <w:basedOn w:val="30"/>
    <w:unhideWhenUsed/>
    <w:qFormat/>
    <w:uiPriority w:val="99"/>
    <w:rPr>
      <w:color w:val="0563C1" w:themeColor="hyperlink"/>
      <w:u w:val="single"/>
      <w14:textFill>
        <w14:solidFill>
          <w14:schemeClr w14:val="hlink"/>
        </w14:solidFill>
      </w14:textFill>
    </w:rPr>
  </w:style>
  <w:style w:type="character" w:styleId="35">
    <w:name w:val="annotation reference"/>
    <w:basedOn w:val="30"/>
    <w:semiHidden/>
    <w:unhideWhenUsed/>
    <w:qFormat/>
    <w:uiPriority w:val="99"/>
    <w:rPr>
      <w:sz w:val="21"/>
      <w:szCs w:val="21"/>
    </w:rPr>
  </w:style>
  <w:style w:type="character" w:customStyle="1" w:styleId="36">
    <w:name w:val="标题 1 字符"/>
    <w:basedOn w:val="30"/>
    <w:link w:val="3"/>
    <w:qFormat/>
    <w:uiPriority w:val="0"/>
    <w:rPr>
      <w:rFonts w:eastAsia="黑体" w:asciiTheme="minorHAnsi" w:hAnsiTheme="minorHAnsi" w:cstheme="minorBidi"/>
      <w:b/>
      <w:bCs/>
      <w:color w:val="auto"/>
      <w:kern w:val="44"/>
      <w:sz w:val="32"/>
      <w:szCs w:val="44"/>
    </w:rPr>
  </w:style>
  <w:style w:type="character" w:customStyle="1" w:styleId="37">
    <w:name w:val="标题 3 字符"/>
    <w:basedOn w:val="30"/>
    <w:link w:val="5"/>
    <w:semiHidden/>
    <w:qFormat/>
    <w:uiPriority w:val="9"/>
    <w:rPr>
      <w:rFonts w:eastAsia="仿宋"/>
      <w:b/>
      <w:bCs/>
      <w:sz w:val="32"/>
      <w:szCs w:val="32"/>
    </w:rPr>
  </w:style>
  <w:style w:type="character" w:customStyle="1" w:styleId="38">
    <w:name w:val="标题 2 字符"/>
    <w:basedOn w:val="30"/>
    <w:link w:val="4"/>
    <w:qFormat/>
    <w:uiPriority w:val="9"/>
    <w:rPr>
      <w:rFonts w:asciiTheme="majorHAnsi" w:hAnsiTheme="majorHAnsi" w:eastAsiaTheme="majorEastAsia" w:cstheme="majorBidi"/>
      <w:b/>
      <w:bCs/>
      <w:color w:val="auto"/>
      <w:sz w:val="32"/>
      <w:szCs w:val="32"/>
    </w:rPr>
  </w:style>
  <w:style w:type="character" w:customStyle="1" w:styleId="39">
    <w:name w:val="文档结构图 字符"/>
    <w:basedOn w:val="30"/>
    <w:link w:val="8"/>
    <w:qFormat/>
    <w:uiPriority w:val="0"/>
    <w:rPr>
      <w:rFonts w:ascii="宋体"/>
      <w:sz w:val="18"/>
      <w:szCs w:val="18"/>
    </w:rPr>
  </w:style>
  <w:style w:type="character" w:customStyle="1" w:styleId="40">
    <w:name w:val="批注框文本 字符"/>
    <w:basedOn w:val="30"/>
    <w:link w:val="15"/>
    <w:qFormat/>
    <w:uiPriority w:val="0"/>
    <w:rPr>
      <w:sz w:val="18"/>
      <w:szCs w:val="18"/>
    </w:rPr>
  </w:style>
  <w:style w:type="character" w:customStyle="1" w:styleId="41">
    <w:name w:val="页脚 字符"/>
    <w:basedOn w:val="30"/>
    <w:link w:val="16"/>
    <w:qFormat/>
    <w:uiPriority w:val="99"/>
    <w:rPr>
      <w:sz w:val="18"/>
      <w:szCs w:val="18"/>
    </w:rPr>
  </w:style>
  <w:style w:type="character" w:customStyle="1" w:styleId="42">
    <w:name w:val="页眉 字符"/>
    <w:basedOn w:val="30"/>
    <w:link w:val="17"/>
    <w:qFormat/>
    <w:uiPriority w:val="99"/>
    <w:rPr>
      <w:sz w:val="18"/>
      <w:szCs w:val="18"/>
    </w:rPr>
  </w:style>
  <w:style w:type="character" w:customStyle="1" w:styleId="43">
    <w:name w:val="HTML 预设格式 字符"/>
    <w:basedOn w:val="30"/>
    <w:link w:val="24"/>
    <w:qFormat/>
    <w:uiPriority w:val="99"/>
    <w:rPr>
      <w:rFonts w:ascii="宋体" w:hAnsi="宋体"/>
      <w:color w:val="auto"/>
      <w:kern w:val="0"/>
      <w:sz w:val="24"/>
      <w:szCs w:val="24"/>
    </w:rPr>
  </w:style>
  <w:style w:type="character" w:customStyle="1" w:styleId="44">
    <w:name w:val="标题 字符"/>
    <w:basedOn w:val="30"/>
    <w:link w:val="26"/>
    <w:qFormat/>
    <w:uiPriority w:val="10"/>
    <w:rPr>
      <w:rFonts w:ascii="Cambria" w:hAnsi="Cambria" w:eastAsia="仿宋_GB2312" w:cs="Times New Roman"/>
      <w:bCs/>
      <w:color w:val="auto"/>
      <w:sz w:val="24"/>
      <w:szCs w:val="32"/>
    </w:rPr>
  </w:style>
  <w:style w:type="paragraph" w:styleId="45">
    <w:name w:val="List Paragraph"/>
    <w:basedOn w:val="1"/>
    <w:qFormat/>
    <w:uiPriority w:val="34"/>
    <w:pPr>
      <w:ind w:firstLine="420"/>
    </w:pPr>
    <w:rPr>
      <w:rFonts w:cstheme="minorBidi"/>
      <w:color w:val="auto"/>
      <w:szCs w:val="22"/>
    </w:rPr>
  </w:style>
  <w:style w:type="paragraph" w:customStyle="1" w:styleId="46">
    <w:name w:val="列出段落5"/>
    <w:basedOn w:val="1"/>
    <w:qFormat/>
    <w:uiPriority w:val="0"/>
    <w:pPr>
      <w:ind w:firstLine="420"/>
    </w:pPr>
    <w:rPr>
      <w:rFonts w:ascii="Calibri" w:hAnsi="Calibri"/>
      <w:color w:val="auto"/>
      <w:sz w:val="21"/>
      <w:szCs w:val="21"/>
    </w:rPr>
  </w:style>
  <w:style w:type="paragraph" w:customStyle="1" w:styleId="47">
    <w:name w:val="列出段落2"/>
    <w:basedOn w:val="1"/>
    <w:qFormat/>
    <w:uiPriority w:val="99"/>
    <w:pPr>
      <w:ind w:firstLine="420"/>
    </w:pPr>
    <w:rPr>
      <w:rFonts w:ascii="Calibri" w:hAnsi="Calibri"/>
      <w:color w:val="auto"/>
      <w:sz w:val="21"/>
      <w:szCs w:val="21"/>
    </w:rPr>
  </w:style>
  <w:style w:type="paragraph" w:customStyle="1" w:styleId="48">
    <w:name w:val="列出段落3"/>
    <w:basedOn w:val="1"/>
    <w:qFormat/>
    <w:uiPriority w:val="0"/>
    <w:pPr>
      <w:spacing w:line="360" w:lineRule="auto"/>
      <w:ind w:firstLine="420"/>
    </w:pPr>
    <w:rPr>
      <w:rFonts w:eastAsia="仿宋_GB2312" w:cs="Times New Roman"/>
      <w:color w:val="auto"/>
      <w:sz w:val="24"/>
      <w:szCs w:val="24"/>
    </w:rPr>
  </w:style>
  <w:style w:type="paragraph" w:customStyle="1" w:styleId="49">
    <w:name w:val="WPSOffice手动目录 1"/>
    <w:qFormat/>
    <w:uiPriority w:val="0"/>
    <w:rPr>
      <w:rFonts w:ascii="Calibri" w:hAnsi="Calibri" w:eastAsia="宋体" w:cs="Times New Roman"/>
      <w:lang w:val="en-US" w:eastAsia="zh-CN" w:bidi="ar-SA"/>
    </w:rPr>
  </w:style>
  <w:style w:type="paragraph" w:customStyle="1" w:styleId="50">
    <w:name w:val="WPSOffice手动目录 2"/>
    <w:qFormat/>
    <w:uiPriority w:val="0"/>
    <w:pPr>
      <w:ind w:left="200" w:leftChars="200"/>
    </w:pPr>
    <w:rPr>
      <w:rFonts w:ascii="Calibri" w:hAnsi="Calibri" w:eastAsia="宋体" w:cs="Times New Roman"/>
      <w:lang w:val="en-US" w:eastAsia="zh-CN" w:bidi="ar-SA"/>
    </w:rPr>
  </w:style>
  <w:style w:type="paragraph" w:customStyle="1" w:styleId="51">
    <w:name w:val="WPSOffice手动目录 3"/>
    <w:qFormat/>
    <w:uiPriority w:val="0"/>
    <w:pPr>
      <w:ind w:left="400" w:leftChars="400"/>
    </w:pPr>
    <w:rPr>
      <w:rFonts w:ascii="Calibri" w:hAnsi="Calibri" w:eastAsia="宋体" w:cs="Times New Roman"/>
      <w:lang w:val="en-US" w:eastAsia="zh-CN" w:bidi="ar-SA"/>
    </w:rPr>
  </w:style>
  <w:style w:type="character" w:customStyle="1" w:styleId="52">
    <w:name w:val="批注文字 字符"/>
    <w:link w:val="9"/>
    <w:qFormat/>
    <w:uiPriority w:val="0"/>
    <w:rPr>
      <w:rFonts w:ascii="等线" w:hAnsi="等线" w:eastAsia="仿宋_GB2312"/>
      <w:kern w:val="2"/>
      <w:sz w:val="24"/>
      <w:szCs w:val="24"/>
    </w:rPr>
  </w:style>
  <w:style w:type="character" w:customStyle="1" w:styleId="53">
    <w:name w:val="批注文字 Char"/>
    <w:basedOn w:val="30"/>
    <w:qFormat/>
    <w:uiPriority w:val="99"/>
    <w:rPr>
      <w:rFonts w:cs="宋体"/>
      <w:color w:val="000000"/>
      <w:kern w:val="2"/>
      <w:sz w:val="28"/>
      <w:szCs w:val="28"/>
    </w:rPr>
  </w:style>
  <w:style w:type="character" w:customStyle="1" w:styleId="54">
    <w:name w:val="正文文本缩进 字符"/>
    <w:basedOn w:val="30"/>
    <w:link w:val="10"/>
    <w:qFormat/>
    <w:uiPriority w:val="99"/>
    <w:rPr>
      <w:rFonts w:ascii="等线" w:hAnsi="等线" w:eastAsia="仿宋_GB2312"/>
      <w:kern w:val="2"/>
      <w:sz w:val="32"/>
      <w:szCs w:val="24"/>
    </w:rPr>
  </w:style>
  <w:style w:type="character" w:customStyle="1" w:styleId="55">
    <w:name w:val="日期 字符"/>
    <w:basedOn w:val="30"/>
    <w:link w:val="14"/>
    <w:qFormat/>
    <w:uiPriority w:val="99"/>
    <w:rPr>
      <w:rFonts w:ascii="等线" w:hAnsi="等线" w:eastAsia="仿宋_GB2312"/>
      <w:kern w:val="2"/>
      <w:sz w:val="24"/>
      <w:szCs w:val="24"/>
    </w:rPr>
  </w:style>
  <w:style w:type="character" w:customStyle="1" w:styleId="56">
    <w:name w:val="副标题 字符"/>
    <w:basedOn w:val="30"/>
    <w:link w:val="20"/>
    <w:qFormat/>
    <w:uiPriority w:val="11"/>
    <w:rPr>
      <w:rFonts w:ascii="Cambria" w:hAnsi="Cambria" w:eastAsia="等线"/>
      <w:b/>
      <w:bCs/>
      <w:kern w:val="28"/>
      <w:szCs w:val="32"/>
    </w:rPr>
  </w:style>
  <w:style w:type="character" w:customStyle="1" w:styleId="57">
    <w:name w:val="批注主题 字符"/>
    <w:basedOn w:val="52"/>
    <w:link w:val="27"/>
    <w:semiHidden/>
    <w:qFormat/>
    <w:uiPriority w:val="99"/>
    <w:rPr>
      <w:rFonts w:ascii="等线" w:hAnsi="等线" w:eastAsia="仿宋_GB2312"/>
      <w:b/>
      <w:bCs/>
      <w:kern w:val="2"/>
      <w:sz w:val="24"/>
      <w:szCs w:val="24"/>
    </w:rPr>
  </w:style>
  <w:style w:type="character" w:customStyle="1" w:styleId="58">
    <w:name w:val="批注主题 Char"/>
    <w:basedOn w:val="53"/>
    <w:link w:val="59"/>
    <w:qFormat/>
    <w:uiPriority w:val="0"/>
    <w:rPr>
      <w:rFonts w:cs="宋体"/>
      <w:b/>
      <w:bCs/>
      <w:color w:val="000000"/>
      <w:kern w:val="2"/>
      <w:sz w:val="28"/>
      <w:szCs w:val="28"/>
    </w:rPr>
  </w:style>
  <w:style w:type="paragraph" w:customStyle="1" w:styleId="59">
    <w:name w:val="批注主题1"/>
    <w:basedOn w:val="9"/>
    <w:next w:val="9"/>
    <w:link w:val="58"/>
    <w:qFormat/>
    <w:uiPriority w:val="0"/>
    <w:rPr>
      <w:rFonts w:ascii="Times New Roman" w:hAnsi="Times New Roman" w:eastAsia="宋体" w:cs="宋体"/>
      <w:b/>
      <w:bCs/>
      <w:color w:val="000000"/>
      <w:sz w:val="28"/>
      <w:szCs w:val="28"/>
    </w:rPr>
  </w:style>
  <w:style w:type="character" w:customStyle="1" w:styleId="60">
    <w:name w:val="apple-converted-space"/>
    <w:basedOn w:val="30"/>
    <w:qFormat/>
    <w:uiPriority w:val="0"/>
  </w:style>
  <w:style w:type="character" w:customStyle="1" w:styleId="61">
    <w:name w:val="页码1"/>
    <w:basedOn w:val="30"/>
    <w:qFormat/>
    <w:uiPriority w:val="0"/>
  </w:style>
  <w:style w:type="character" w:customStyle="1" w:styleId="62">
    <w:name w:val="批注引用1"/>
    <w:qFormat/>
    <w:uiPriority w:val="0"/>
    <w:rPr>
      <w:sz w:val="21"/>
      <w:szCs w:val="21"/>
    </w:rPr>
  </w:style>
  <w:style w:type="paragraph" w:customStyle="1" w:styleId="63">
    <w:name w:val="文档结构图1"/>
    <w:basedOn w:val="1"/>
    <w:qFormat/>
    <w:uiPriority w:val="0"/>
    <w:pPr>
      <w:spacing w:line="360" w:lineRule="auto"/>
      <w:ind w:firstLine="200"/>
    </w:pPr>
    <w:rPr>
      <w:rFonts w:ascii="宋体" w:hAnsi="等线" w:eastAsia="等线" w:cs="Times New Roman"/>
      <w:color w:val="auto"/>
      <w:sz w:val="18"/>
      <w:szCs w:val="18"/>
    </w:rPr>
  </w:style>
  <w:style w:type="paragraph" w:customStyle="1" w:styleId="64">
    <w:name w:val="_Style 1"/>
    <w:basedOn w:val="1"/>
    <w:qFormat/>
    <w:uiPriority w:val="0"/>
    <w:pPr>
      <w:spacing w:line="360" w:lineRule="auto"/>
      <w:ind w:firstLine="200"/>
    </w:pPr>
    <w:rPr>
      <w:rFonts w:ascii="等线" w:hAnsi="等线" w:cs="Times New Roman"/>
      <w:color w:val="auto"/>
      <w:sz w:val="21"/>
      <w:szCs w:val="24"/>
    </w:rPr>
  </w:style>
  <w:style w:type="paragraph" w:customStyle="1" w:styleId="65">
    <w:name w:val="p16"/>
    <w:basedOn w:val="1"/>
    <w:qFormat/>
    <w:uiPriority w:val="0"/>
    <w:pPr>
      <w:widowControl/>
      <w:ind w:firstLine="420"/>
    </w:pPr>
    <w:rPr>
      <w:rFonts w:ascii="Calibri" w:hAnsi="Calibri"/>
      <w:color w:val="auto"/>
      <w:kern w:val="0"/>
      <w:sz w:val="21"/>
      <w:szCs w:val="21"/>
    </w:rPr>
  </w:style>
  <w:style w:type="paragraph" w:customStyle="1" w:styleId="66">
    <w:name w:val="日期1"/>
    <w:basedOn w:val="1"/>
    <w:next w:val="1"/>
    <w:qFormat/>
    <w:uiPriority w:val="0"/>
    <w:pPr>
      <w:spacing w:line="360" w:lineRule="auto"/>
      <w:ind w:left="100" w:leftChars="2500" w:firstLine="200"/>
    </w:pPr>
    <w:rPr>
      <w:rFonts w:ascii="等线" w:hAnsi="等线" w:cs="Times New Roman"/>
      <w:color w:val="auto"/>
      <w:sz w:val="21"/>
      <w:szCs w:val="24"/>
    </w:rPr>
  </w:style>
  <w:style w:type="paragraph" w:customStyle="1" w:styleId="67">
    <w:name w:val="列出段落4"/>
    <w:basedOn w:val="1"/>
    <w:qFormat/>
    <w:uiPriority w:val="0"/>
    <w:pPr>
      <w:ind w:firstLine="420"/>
    </w:pPr>
    <w:rPr>
      <w:rFonts w:ascii="Calibri" w:hAnsi="Calibri"/>
      <w:color w:val="auto"/>
      <w:sz w:val="21"/>
      <w:szCs w:val="21"/>
    </w:rPr>
  </w:style>
  <w:style w:type="paragraph" w:customStyle="1" w:styleId="68">
    <w:name w:val="无间隔1"/>
    <w:qFormat/>
    <w:uiPriority w:val="0"/>
    <w:pPr>
      <w:widowControl w:val="0"/>
      <w:spacing w:line="360" w:lineRule="auto"/>
      <w:ind w:firstLine="200" w:firstLineChars="200"/>
      <w:outlineLvl w:val="2"/>
    </w:pPr>
    <w:rPr>
      <w:rFonts w:ascii="等线" w:hAnsi="等线" w:eastAsia="仿宋_GB2312" w:cs="Times New Roman"/>
      <w:kern w:val="2"/>
      <w:sz w:val="24"/>
      <w:szCs w:val="24"/>
      <w:lang w:val="en-US" w:eastAsia="zh-CN" w:bidi="ar-SA"/>
    </w:rPr>
  </w:style>
  <w:style w:type="paragraph" w:customStyle="1" w:styleId="69">
    <w:name w:val="修订11"/>
    <w:qFormat/>
    <w:uiPriority w:val="0"/>
    <w:rPr>
      <w:rFonts w:ascii="等线" w:hAnsi="等线" w:eastAsia="仿宋_GB2312" w:cs="Times New Roman"/>
      <w:kern w:val="2"/>
      <w:sz w:val="24"/>
      <w:szCs w:val="24"/>
      <w:lang w:val="en-US" w:eastAsia="zh-CN" w:bidi="ar-SA"/>
    </w:rPr>
  </w:style>
  <w:style w:type="paragraph" w:customStyle="1" w:styleId="70">
    <w:name w:val="reader-word-layer"/>
    <w:basedOn w:val="1"/>
    <w:qFormat/>
    <w:uiPriority w:val="0"/>
    <w:pPr>
      <w:widowControl/>
      <w:spacing w:before="100" w:beforeAutospacing="1" w:after="100" w:afterAutospacing="1"/>
      <w:jc w:val="left"/>
    </w:pPr>
    <w:rPr>
      <w:rFonts w:ascii="宋体" w:hAnsi="宋体"/>
      <w:color w:val="auto"/>
      <w:kern w:val="0"/>
      <w:sz w:val="24"/>
      <w:szCs w:val="24"/>
    </w:rPr>
  </w:style>
  <w:style w:type="paragraph" w:customStyle="1" w:styleId="71">
    <w:name w:val="TOC 标题1"/>
    <w:basedOn w:val="3"/>
    <w:next w:val="1"/>
    <w:qFormat/>
    <w:uiPriority w:val="0"/>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paragraph" w:customStyle="1" w:styleId="72">
    <w:name w:val="列出段落1"/>
    <w:basedOn w:val="1"/>
    <w:qFormat/>
    <w:uiPriority w:val="0"/>
    <w:pPr>
      <w:spacing w:line="360" w:lineRule="auto"/>
      <w:ind w:firstLine="420"/>
    </w:pPr>
    <w:rPr>
      <w:rFonts w:ascii="等线" w:hAnsi="等线" w:eastAsia="仿宋_GB2312" w:cs="Times New Roman"/>
      <w:color w:val="auto"/>
      <w:sz w:val="24"/>
      <w:szCs w:val="24"/>
    </w:rPr>
  </w:style>
  <w:style w:type="paragraph" w:customStyle="1" w:styleId="73">
    <w:name w:val="TOC 标题2"/>
    <w:basedOn w:val="3"/>
    <w:next w:val="1"/>
    <w:unhideWhenUsed/>
    <w:qFormat/>
    <w:uiPriority w:val="39"/>
    <w:pPr>
      <w:widowControl/>
      <w:adjustRightInd w:val="0"/>
      <w:snapToGrid w:val="0"/>
      <w:spacing w:before="480" w:line="276" w:lineRule="auto"/>
      <w:jc w:val="left"/>
      <w:outlineLvl w:val="9"/>
    </w:pPr>
    <w:rPr>
      <w:rFonts w:ascii="Cambria" w:hAnsi="Cambria" w:eastAsia="宋体" w:cs="Times New Roman"/>
      <w:color w:val="365F91"/>
      <w:kern w:val="0"/>
      <w:sz w:val="30"/>
      <w:szCs w:val="28"/>
    </w:rPr>
  </w:style>
  <w:style w:type="character" w:customStyle="1" w:styleId="74">
    <w:name w:val="Body text|1_"/>
    <w:basedOn w:val="30"/>
    <w:link w:val="75"/>
    <w:qFormat/>
    <w:uiPriority w:val="0"/>
    <w:rPr>
      <w:rFonts w:ascii="宋体" w:hAnsi="宋体" w:cs="宋体"/>
      <w:sz w:val="28"/>
      <w:szCs w:val="28"/>
      <w:lang w:val="zh-TW" w:eastAsia="zh-TW" w:bidi="zh-TW"/>
    </w:rPr>
  </w:style>
  <w:style w:type="paragraph" w:customStyle="1" w:styleId="75">
    <w:name w:val="Body text|1"/>
    <w:basedOn w:val="1"/>
    <w:link w:val="74"/>
    <w:qFormat/>
    <w:uiPriority w:val="0"/>
    <w:pPr>
      <w:spacing w:line="406" w:lineRule="auto"/>
      <w:ind w:firstLine="400"/>
      <w:jc w:val="left"/>
    </w:pPr>
    <w:rPr>
      <w:rFonts w:ascii="宋体" w:hAnsi="宋体"/>
      <w:color w:val="auto"/>
      <w:kern w:val="0"/>
      <w:lang w:val="zh-TW" w:eastAsia="zh-TW" w:bidi="zh-TW"/>
    </w:rPr>
  </w:style>
  <w:style w:type="paragraph" w:customStyle="1" w:styleId="76">
    <w:name w:val="font5"/>
    <w:basedOn w:val="1"/>
    <w:qFormat/>
    <w:uiPriority w:val="0"/>
    <w:pPr>
      <w:widowControl/>
      <w:spacing w:before="100" w:beforeAutospacing="1" w:after="100" w:afterAutospacing="1"/>
      <w:jc w:val="left"/>
    </w:pPr>
    <w:rPr>
      <w:rFonts w:ascii="宋体" w:hAnsi="宋体"/>
      <w:color w:val="auto"/>
      <w:kern w:val="0"/>
      <w:sz w:val="18"/>
      <w:szCs w:val="18"/>
    </w:rPr>
  </w:style>
  <w:style w:type="paragraph" w:customStyle="1" w:styleId="77">
    <w:name w:val="xl7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78">
    <w:name w:val="xl7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b/>
      <w:bCs/>
      <w:color w:val="auto"/>
      <w:kern w:val="0"/>
      <w:sz w:val="24"/>
      <w:szCs w:val="24"/>
    </w:rPr>
  </w:style>
  <w:style w:type="paragraph" w:customStyle="1" w:styleId="79">
    <w:name w:val="xl7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auto"/>
      <w:kern w:val="0"/>
      <w:sz w:val="24"/>
      <w:szCs w:val="24"/>
    </w:rPr>
  </w:style>
  <w:style w:type="paragraph" w:customStyle="1" w:styleId="80">
    <w:name w:val="xl80"/>
    <w:basedOn w:val="1"/>
    <w:qFormat/>
    <w:uiPriority w:val="0"/>
    <w:pPr>
      <w:widowControl/>
      <w:spacing w:before="100" w:beforeAutospacing="1" w:after="100" w:afterAutospacing="1"/>
      <w:jc w:val="center"/>
      <w:textAlignment w:val="center"/>
    </w:pPr>
    <w:rPr>
      <w:rFonts w:ascii="宋体" w:hAnsi="宋体"/>
      <w:color w:val="auto"/>
      <w:kern w:val="0"/>
      <w:sz w:val="24"/>
      <w:szCs w:val="24"/>
    </w:rPr>
  </w:style>
  <w:style w:type="paragraph" w:customStyle="1" w:styleId="81">
    <w:name w:val="font6"/>
    <w:basedOn w:val="1"/>
    <w:qFormat/>
    <w:uiPriority w:val="0"/>
    <w:pPr>
      <w:widowControl/>
      <w:spacing w:before="100" w:beforeAutospacing="1" w:after="100" w:afterAutospacing="1"/>
      <w:jc w:val="left"/>
    </w:pPr>
    <w:rPr>
      <w:rFonts w:ascii="宋体" w:hAnsi="宋体"/>
      <w:b/>
      <w:bCs/>
      <w:color w:val="auto"/>
      <w:kern w:val="0"/>
      <w:sz w:val="54"/>
      <w:szCs w:val="54"/>
    </w:rPr>
  </w:style>
  <w:style w:type="paragraph" w:customStyle="1" w:styleId="82">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olor w:val="auto"/>
      <w:kern w:val="0"/>
      <w:sz w:val="24"/>
      <w:szCs w:val="24"/>
    </w:rPr>
  </w:style>
  <w:style w:type="paragraph" w:customStyle="1" w:styleId="83">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color w:val="auto"/>
      <w:kern w:val="0"/>
      <w:sz w:val="22"/>
      <w:szCs w:val="22"/>
    </w:rPr>
  </w:style>
  <w:style w:type="paragraph" w:customStyle="1" w:styleId="84">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b/>
      <w:bCs/>
      <w:color w:val="auto"/>
      <w:kern w:val="0"/>
      <w:sz w:val="22"/>
      <w:szCs w:val="22"/>
    </w:rPr>
  </w:style>
  <w:style w:type="character" w:customStyle="1" w:styleId="85">
    <w:name w:val="文档结构图 Char1"/>
    <w:semiHidden/>
    <w:qFormat/>
    <w:uiPriority w:val="99"/>
    <w:rPr>
      <w:rFonts w:ascii="宋体"/>
      <w:kern w:val="2"/>
      <w:sz w:val="18"/>
      <w:szCs w:val="18"/>
    </w:rPr>
  </w:style>
  <w:style w:type="paragraph" w:customStyle="1" w:styleId="86">
    <w:name w:val="修订1"/>
    <w:semiHidden/>
    <w:qFormat/>
    <w:uiPriority w:val="99"/>
    <w:rPr>
      <w:rFonts w:ascii="等线" w:hAnsi="等线" w:eastAsia="仿宋_GB2312" w:cs="Times New Roman"/>
      <w:kern w:val="2"/>
      <w:sz w:val="24"/>
      <w:szCs w:val="24"/>
      <w:lang w:val="en-US" w:eastAsia="zh-CN" w:bidi="ar-SA"/>
    </w:rPr>
  </w:style>
  <w:style w:type="character" w:customStyle="1" w:styleId="87">
    <w:name w:val="font41"/>
    <w:basedOn w:val="30"/>
    <w:qFormat/>
    <w:uiPriority w:val="0"/>
    <w:rPr>
      <w:rFonts w:hint="eastAsia" w:ascii="宋体" w:hAnsi="宋体" w:eastAsia="宋体" w:cs="宋体"/>
      <w:color w:val="000000"/>
      <w:sz w:val="20"/>
      <w:szCs w:val="20"/>
      <w:u w:val="none"/>
    </w:rPr>
  </w:style>
  <w:style w:type="character" w:customStyle="1" w:styleId="88">
    <w:name w:val="font11"/>
    <w:basedOn w:val="30"/>
    <w:qFormat/>
    <w:uiPriority w:val="0"/>
    <w:rPr>
      <w:rFonts w:hint="eastAsia" w:ascii="宋体" w:hAnsi="宋体" w:eastAsia="宋体" w:cs="宋体"/>
      <w:color w:val="FF0000"/>
      <w:sz w:val="20"/>
      <w:szCs w:val="20"/>
      <w:u w:val="none"/>
    </w:rPr>
  </w:style>
  <w:style w:type="character" w:customStyle="1" w:styleId="89">
    <w:name w:val="font71"/>
    <w:basedOn w:val="30"/>
    <w:qFormat/>
    <w:uiPriority w:val="0"/>
    <w:rPr>
      <w:rFonts w:hint="eastAsia" w:ascii="仿宋" w:hAnsi="仿宋" w:eastAsia="仿宋" w:cs="仿宋"/>
      <w:color w:val="FF0000"/>
      <w:sz w:val="20"/>
      <w:szCs w:val="20"/>
      <w:u w:val="none"/>
    </w:rPr>
  </w:style>
  <w:style w:type="character" w:customStyle="1" w:styleId="90">
    <w:name w:val="font21"/>
    <w:basedOn w:val="30"/>
    <w:qFormat/>
    <w:uiPriority w:val="0"/>
    <w:rPr>
      <w:rFonts w:hint="eastAsia" w:ascii="仿宋" w:hAnsi="仿宋" w:eastAsia="仿宋" w:cs="仿宋"/>
      <w:color w:val="ED7D31"/>
      <w:sz w:val="20"/>
      <w:szCs w:val="20"/>
      <w:u w:val="none"/>
    </w:rPr>
  </w:style>
  <w:style w:type="character" w:customStyle="1" w:styleId="91">
    <w:name w:val="font51"/>
    <w:basedOn w:val="30"/>
    <w:qFormat/>
    <w:uiPriority w:val="0"/>
    <w:rPr>
      <w:rFonts w:hint="eastAsia" w:ascii="仿宋" w:hAnsi="仿宋" w:eastAsia="仿宋" w:cs="仿宋"/>
      <w:color w:val="000000"/>
      <w:sz w:val="20"/>
      <w:szCs w:val="20"/>
      <w:u w:val="none"/>
    </w:rPr>
  </w:style>
  <w:style w:type="character" w:customStyle="1" w:styleId="92">
    <w:name w:val="font31"/>
    <w:basedOn w:val="30"/>
    <w:qFormat/>
    <w:uiPriority w:val="0"/>
    <w:rPr>
      <w:rFonts w:hint="eastAsia" w:ascii="仿宋" w:hAnsi="仿宋" w:eastAsia="仿宋" w:cs="仿宋"/>
      <w:color w:val="0070C0"/>
      <w:sz w:val="20"/>
      <w:szCs w:val="20"/>
      <w:u w:val="none"/>
    </w:rPr>
  </w:style>
  <w:style w:type="character" w:customStyle="1" w:styleId="93">
    <w:name w:val="font91"/>
    <w:basedOn w:val="30"/>
    <w:qFormat/>
    <w:uiPriority w:val="0"/>
    <w:rPr>
      <w:rFonts w:ascii="Wingdings" w:hAnsi="Wingdings" w:cs="Wingdings"/>
      <w:color w:val="000000"/>
      <w:sz w:val="20"/>
      <w:szCs w:val="20"/>
      <w:u w:val="none"/>
    </w:rPr>
  </w:style>
  <w:style w:type="character" w:customStyle="1" w:styleId="94">
    <w:name w:val="font61"/>
    <w:basedOn w:val="30"/>
    <w:qFormat/>
    <w:uiPriority w:val="0"/>
    <w:rPr>
      <w:rFonts w:hint="eastAsia" w:ascii="仿宋" w:hAnsi="仿宋" w:eastAsia="仿宋" w:cs="仿宋"/>
      <w:color w:val="000000"/>
      <w:sz w:val="20"/>
      <w:szCs w:val="20"/>
      <w:u w:val="none"/>
    </w:rPr>
  </w:style>
  <w:style w:type="character" w:customStyle="1" w:styleId="95">
    <w:name w:val="font81"/>
    <w:basedOn w:val="30"/>
    <w:qFormat/>
    <w:uiPriority w:val="0"/>
    <w:rPr>
      <w:rFonts w:hint="default" w:ascii="Times New Roman" w:hAnsi="Times New Roman" w:cs="Times New Roman"/>
      <w:color w:val="000000"/>
      <w:sz w:val="20"/>
      <w:szCs w:val="20"/>
      <w:u w:val="none"/>
    </w:rPr>
  </w:style>
  <w:style w:type="character" w:customStyle="1" w:styleId="96">
    <w:name w:val="font01"/>
    <w:basedOn w:val="30"/>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15D982-CC96-4AA7-8216-1019302448E2}">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10</Pages>
  <Words>3734</Words>
  <Characters>4144</Characters>
  <Lines>42</Lines>
  <Paragraphs>12</Paragraphs>
  <TotalTime>1</TotalTime>
  <ScaleCrop>false</ScaleCrop>
  <LinksUpToDate>false</LinksUpToDate>
  <CharactersWithSpaces>4243</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2019-05-09T06:51:00Z</dcterms:created>
  <dc:creator>pc</dc:creator>
  <cp:lastModifiedBy>丫丫</cp:lastModifiedBy>
  <cp:lastPrinted>2023-04-25T04:27:00Z</cp:lastPrinted>
  <dcterms:modified xsi:type="dcterms:W3CDTF">2023-04-26T04:06:05Z</dcterms:modified>
  <cp:revision>233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5F2BE19DB3CD40A59E3F3BDFBAFD4983</vt:lpwstr>
  </property>
</Properties>
</file>